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山东理工大学本科专业评估方案</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为贯彻落实教育部《关于</w:t>
      </w:r>
      <w:bookmarkStart w:id="1" w:name="_GoBack"/>
      <w:bookmarkEnd w:id="1"/>
      <w:r>
        <w:rPr>
          <w:rFonts w:hint="eastAsia" w:ascii="仿宋" w:hAnsi="仿宋" w:eastAsia="仿宋" w:cs="仿宋"/>
          <w:sz w:val="32"/>
          <w:szCs w:val="32"/>
        </w:rPr>
        <w:t>普通高等学校本科教学评估工作的意见》（教高〔2011〕9 号）、</w:t>
      </w:r>
      <w:r>
        <w:rPr>
          <w:rFonts w:hint="eastAsia" w:ascii="仿宋" w:hAnsi="仿宋" w:eastAsia="仿宋" w:cs="仿宋"/>
          <w:color w:val="333333"/>
          <w:kern w:val="0"/>
          <w:sz w:val="32"/>
          <w:szCs w:val="32"/>
        </w:rPr>
        <w:t>《关于加快建设高水平本科教育 全面提高人才培养能力的意见》（教高[2018]2号）、《关于狠抓新时代全国高等学校本科工作会议精神落实的通知》（教高函 [2018]8号）以及</w:t>
      </w:r>
      <w:r>
        <w:rPr>
          <w:rFonts w:hint="eastAsia" w:ascii="仿宋" w:hAnsi="仿宋" w:eastAsia="仿宋" w:cs="仿宋"/>
          <w:sz w:val="32"/>
          <w:szCs w:val="32"/>
        </w:rPr>
        <w:t>山东省《关于推进高等教育综合改革的意见》（鲁办发〔2016〕19号）</w:t>
      </w:r>
      <w:r>
        <w:rPr>
          <w:rFonts w:hint="eastAsia" w:ascii="仿宋" w:hAnsi="仿宋" w:eastAsia="仿宋" w:cs="仿宋"/>
          <w:color w:val="333333"/>
          <w:kern w:val="0"/>
          <w:sz w:val="32"/>
          <w:szCs w:val="32"/>
        </w:rPr>
        <w:t>等文件精神，</w:t>
      </w:r>
      <w:r>
        <w:rPr>
          <w:rFonts w:hint="eastAsia" w:ascii="仿宋" w:hAnsi="仿宋" w:eastAsia="仿宋" w:cs="仿宋"/>
          <w:sz w:val="32"/>
          <w:szCs w:val="32"/>
        </w:rPr>
        <w:t>结合《山东理工大学本科教育教学综合改革方案》（鲁理工大政发〔2017〕149号）和《山东理工大学人才培养质量提升工程实施意见》（鲁理工大政发〔2018〕123号）文件要求，提升我校“五有”人才培养质量，建立本科专业建设、评估、认证长效机制，特制定本方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国家及山东省中长期教育改革和发展规划纲要为指导，紧紧围绕“学生中心、成果导向、持续改进”的理念，坚持“以评促建、以评促改、以评促管、评建结合、重在建设”的方针，加强内涵建设，突出特色发展，推进学校专业结构优化和“招生－培养－就业”联动机制建设，完善本科教学质量监控与保障体系，进一步提高人才培养质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二、基本原则</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导向性原则。树立“质量为王、标准为先、使用为要”的标准意识，建立“兜住底线、保障合格、追求卓越”的三级建设发展机制,形成持续改进的质量保障体系。《普通高等学校本科专业类教学质量国家标准》以及国家专业认证标准是制定评估方案和指标体系的主要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（二）过程性原则。引导专业重视人才培养目标定位与实现，关注目标实现的过程要素，以过程管理保质量，以校内评估抓常态，以专业认证上水平，以持续改进为动力，以特色建设促发展。</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（三）主体性原则。学校是组织评估工作的主体，学院是专业建设的主体，在遵循专业建设普遍规律的基础上，兼顾各专业间的差异和特点，引导专业找准定位，提高质量，办出特色。</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四）定量与定性相结合原则。对于专业建设中可以量化的指标作为定量指标，不可量化的指标作为定性指标。定量评估以本科教学基本状态数据和本科教学质量报告中的数据为依据，定性评估通过专业汇报和现场考察等方式进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三、评估周期及范围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专业评估4年为一个周期，覆盖当年度有毕业生的所有本科专业。参评专业1年为评估年，1年为整改年。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当年被限制招生或暂停招生的本科专业不参加评估；通过专业认证在有效期内的专业或者当年申请参加专业认证的专业不参加评估。</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四、评估指标体系</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普通高等学校本科专业类教学质量国家标准》，结合我校实际，制定了《山东理工大学本科专业评估指标体系》（见附件），主要包括师资队伍建设及水平、教学建设与改革、教学条件、学生发展、教学管理、问题及特色等评估要素。评估指标体系分为定量指标和定性指标。评估指标体系将根据学校发展阶段和专业建设情况进行动态调整。</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五、评估程序</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（一）专业自评</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学院要认真学习《山东理工大学本科专业评估指标体系》，对照指标体系对参评专业建设情况开展自评，总结成绩，凝练特色，查摆问题，撰写并提交《****专业自评报告》。</w:t>
      </w:r>
    </w:p>
    <w:p>
      <w:pPr>
        <w:keepNext w:val="0"/>
        <w:keepLines w:val="0"/>
        <w:pageBreakBefore w:val="0"/>
        <w:widowControl w:val="0"/>
        <w:kinsoku/>
        <w:wordWrap/>
        <w:overflowPunct/>
        <w:topLinePunct w:val="0"/>
        <w:autoSpaceDE/>
        <w:autoSpaceDN/>
        <w:bidi w:val="0"/>
        <w:snapToGrid/>
        <w:spacing w:line="560" w:lineRule="exact"/>
        <w:ind w:left="10054" w:leftChars="305" w:right="120" w:hanging="9414" w:hangingChars="2942"/>
        <w:textAlignment w:val="auto"/>
        <w:rPr>
          <w:rFonts w:hint="eastAsia" w:ascii="仿宋" w:hAnsi="仿宋" w:eastAsia="仿宋" w:cs="仿宋"/>
          <w:sz w:val="32"/>
          <w:szCs w:val="32"/>
        </w:rPr>
      </w:pPr>
      <w:r>
        <w:rPr>
          <w:rFonts w:hint="eastAsia" w:ascii="仿宋" w:hAnsi="仿宋" w:eastAsia="仿宋" w:cs="仿宋"/>
          <w:sz w:val="32"/>
          <w:szCs w:val="32"/>
        </w:rPr>
        <w:t>（二）自评报告评审</w:t>
      </w:r>
    </w:p>
    <w:p>
      <w:pPr>
        <w:keepNext w:val="0"/>
        <w:keepLines w:val="0"/>
        <w:pageBreakBefore w:val="0"/>
        <w:widowControl w:val="0"/>
        <w:kinsoku/>
        <w:wordWrap/>
        <w:overflowPunct/>
        <w:topLinePunct w:val="0"/>
        <w:autoSpaceDE/>
        <w:autoSpaceDN/>
        <w:bidi w:val="0"/>
        <w:snapToGrid/>
        <w:spacing w:line="560" w:lineRule="exact"/>
        <w:ind w:right="120"/>
        <w:textAlignment w:val="auto"/>
        <w:rPr>
          <w:rFonts w:hint="eastAsia" w:ascii="仿宋" w:hAnsi="仿宋" w:eastAsia="仿宋" w:cs="仿宋"/>
          <w:sz w:val="32"/>
          <w:szCs w:val="32"/>
        </w:rPr>
      </w:pPr>
      <w:r>
        <w:rPr>
          <w:rFonts w:hint="eastAsia" w:ascii="仿宋" w:hAnsi="仿宋" w:eastAsia="仿宋" w:cs="仿宋"/>
          <w:sz w:val="32"/>
          <w:szCs w:val="32"/>
        </w:rPr>
        <w:t xml:space="preserve">    学校组织校内外同行专家对《专业自评报告》进行通讯评审，重点对专业自身建设的过程、措施、质量和水平以及专业自评报告质量进行评审，并形成书面意见和建议。</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（三）现场考察</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学校组织评估专家组对各专业进行现场考察。现场考察方式包括听取专业建设情况汇报、调阅相关教学资料、召开座谈会及访谈等。专家组根据现场考察情况进行评审，并形成书面意见和建议。 </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（四）形成评估结论</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自评报告评审结果、定量评估结果和定性评估结果满分均为百分制，三者按照3:4:3的权重形成专业评估成绩，并确定评估等级。评估等级分优秀、良好、合格和不合格，优秀比例原则上不超过当年参评专业数的 30%。90分及以上且排名前30%为优秀；75分及以上且非优秀的为良好；60分及以上且不足75分为合格；60分以下为不合格，并给予黄牌警告。评估结论以适当方式予以公布。</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根据评审专家的书面意见形成《****专业评估报告》并及时反馈到学院。</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（五）持续改进</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根据《****专业评估报告》，撰写《****专业整改方案》，经学院教授委员会讨论审议通过后，报主管部门备案。学院要按照整改方案逐项落实，持续改进，并按要求提交《****专业整改落实总结报告》。学校将适时进行整改专项检查。</w:t>
      </w:r>
    </w:p>
    <w:p>
      <w:pPr>
        <w:keepNext w:val="0"/>
        <w:keepLines w:val="0"/>
        <w:pageBreakBefore w:val="0"/>
        <w:widowControl w:val="0"/>
        <w:kinsoku/>
        <w:wordWrap/>
        <w:overflowPunct/>
        <w:topLinePunct w:val="0"/>
        <w:autoSpaceDE/>
        <w:autoSpaceDN/>
        <w:bidi w:val="0"/>
        <w:snapToGrid/>
        <w:spacing w:line="560" w:lineRule="exact"/>
        <w:ind w:right="120"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六、结论应用</w:t>
      </w:r>
    </w:p>
    <w:p>
      <w:pPr>
        <w:keepNext w:val="0"/>
        <w:keepLines w:val="0"/>
        <w:pageBreakBefore w:val="0"/>
        <w:widowControl w:val="0"/>
        <w:kinsoku/>
        <w:wordWrap/>
        <w:overflowPunct/>
        <w:topLinePunct w:val="0"/>
        <w:autoSpaceDE/>
        <w:autoSpaceDN/>
        <w:bidi w:val="0"/>
        <w:snapToGrid/>
        <w:spacing w:line="560" w:lineRule="exact"/>
        <w:ind w:right="120"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专业评估结果作为专业结构优化调整、专业分类及优势特色专业建设的依据。</w:t>
      </w:r>
    </w:p>
    <w:p>
      <w:pPr>
        <w:keepNext w:val="0"/>
        <w:keepLines w:val="0"/>
        <w:pageBreakBefore w:val="0"/>
        <w:widowControl w:val="0"/>
        <w:kinsoku/>
        <w:wordWrap/>
        <w:overflowPunct/>
        <w:topLinePunct w:val="0"/>
        <w:autoSpaceDE/>
        <w:autoSpaceDN/>
        <w:bidi w:val="0"/>
        <w:snapToGrid/>
        <w:spacing w:line="560" w:lineRule="exact"/>
        <w:ind w:right="120"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评估结论为“优秀”的专业，在下一届评估中简化程序，根据专业自评报告和定量指标进行评估，按照4:6的权重形成专业评估成绩，等级为“优秀”的不占优秀名额。“优秀”专业应积极参加专业认证，通过认证的直接认定为“优秀”，有效期内不再参加校内专业评估。</w:t>
      </w:r>
    </w:p>
    <w:p>
      <w:pPr>
        <w:keepNext w:val="0"/>
        <w:keepLines w:val="0"/>
        <w:pageBreakBefore w:val="0"/>
        <w:widowControl w:val="0"/>
        <w:kinsoku/>
        <w:wordWrap/>
        <w:overflowPunct/>
        <w:topLinePunct w:val="0"/>
        <w:autoSpaceDE/>
        <w:autoSpaceDN/>
        <w:bidi w:val="0"/>
        <w:snapToGrid/>
        <w:spacing w:line="560" w:lineRule="exact"/>
        <w:ind w:right="120"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根据省教育厅“突出特色、科学布局、主动调优、控制规模”的专业设置原则，学校将在“合格”及“不合格”的专业中，对没有办学优势且社会需求不大的专业进行合并或撤销，连续两届均受到黄牌警告，将暂停专业招生。对于适应社会需求、符合新兴产业发展趋势的专业，学校将在政策方面予以倾斜扶持，强化专业建设。</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七、组织管理</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（一）组织机构</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成立本科专业评估领导小组，领导小组由分管教学副校长任组长，成员由相关职能部门负责人组成。领导小组负责学校本科专业评估工作的战略规划、统筹协调和指导监督。领导小组下设评估工作办公室，办公室设在教学质量评估评价中心，具体负责方案制定和组织实施。各学院成立院级专业评估工作小组，切实抓好各项工作的落实。</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（二）建立专业评估专家库</w:t>
      </w:r>
    </w:p>
    <w:p>
      <w:pPr>
        <w:keepNext w:val="0"/>
        <w:keepLines w:val="0"/>
        <w:pageBreakBefore w:val="0"/>
        <w:widowControl w:val="0"/>
        <w:kinsoku/>
        <w:wordWrap/>
        <w:overflowPunct/>
        <w:topLinePunct w:val="0"/>
        <w:autoSpaceDE/>
        <w:autoSpaceDN/>
        <w:bidi w:val="0"/>
        <w:snapToGrid/>
        <w:spacing w:line="560" w:lineRule="exact"/>
        <w:ind w:right="12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遴选组建专业评估专家库，参与校内专业评估相关工作。专家成员由校内副高以上专任教师、校级教学督导专家、有关职能部门负责人、校外同行专家以及行业企业专家等组成。学校将不定期组织评估专家学习培训交流活动，专家库实行动态管理。</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八、其他</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（一）未尽事宜将在每届评估通知中补充说明。</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（二）本方案由教学质量评估评价中心负责解释。</w:t>
      </w: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60" w:lineRule="exact"/>
        <w:ind w:left="1600" w:right="120" w:hanging="959"/>
        <w:textAlignment w:val="auto"/>
        <w:rPr>
          <w:rFonts w:hint="eastAsia" w:ascii="仿宋" w:hAnsi="仿宋" w:eastAsia="仿宋" w:cs="仿宋"/>
          <w:sz w:val="32"/>
          <w:szCs w:val="32"/>
        </w:rPr>
      </w:pPr>
      <w:r>
        <w:rPr>
          <w:rFonts w:hint="eastAsia" w:ascii="仿宋" w:hAnsi="仿宋" w:eastAsia="仿宋" w:cs="仿宋"/>
          <w:sz w:val="32"/>
          <w:szCs w:val="32"/>
        </w:rPr>
        <w:t>附件1．山东理工大学本科专业评估定量指标体系</w:t>
      </w:r>
    </w:p>
    <w:p>
      <w:pPr>
        <w:keepNext w:val="0"/>
        <w:keepLines w:val="0"/>
        <w:pageBreakBefore w:val="0"/>
        <w:widowControl w:val="0"/>
        <w:kinsoku/>
        <w:wordWrap/>
        <w:overflowPunct/>
        <w:topLinePunct w:val="0"/>
        <w:autoSpaceDE/>
        <w:autoSpaceDN/>
        <w:bidi w:val="0"/>
        <w:snapToGrid/>
        <w:spacing w:line="560" w:lineRule="exact"/>
        <w:ind w:right="120" w:firstLine="1440" w:firstLineChars="450"/>
        <w:textAlignment w:val="auto"/>
        <w:rPr>
          <w:rFonts w:hint="eastAsia" w:ascii="仿宋" w:hAnsi="仿宋" w:eastAsia="仿宋" w:cs="仿宋"/>
          <w:sz w:val="32"/>
          <w:szCs w:val="32"/>
        </w:rPr>
      </w:pPr>
      <w:r>
        <w:rPr>
          <w:rFonts w:hint="eastAsia" w:ascii="仿宋" w:hAnsi="仿宋" w:eastAsia="仿宋" w:cs="仿宋"/>
          <w:sz w:val="32"/>
          <w:szCs w:val="32"/>
        </w:rPr>
        <w:t>2．山东理工大学本科专业评估定性指标体系</w:t>
      </w:r>
    </w:p>
    <w:p>
      <w:pPr>
        <w:spacing w:line="379" w:lineRule="auto"/>
        <w:ind w:left="1600" w:right="120" w:hanging="959"/>
        <w:rPr>
          <w:rFonts w:ascii="宋体" w:hAnsi="宋体"/>
          <w:sz w:val="28"/>
          <w:szCs w:val="28"/>
        </w:rPr>
      </w:pPr>
    </w:p>
    <w:p>
      <w:pPr>
        <w:widowControl/>
        <w:jc w:val="left"/>
        <w:rPr>
          <w:rFonts w:ascii="黑体" w:hAnsi="黑体" w:eastAsia="黑体"/>
          <w:sz w:val="28"/>
          <w:szCs w:val="28"/>
        </w:rPr>
      </w:pPr>
      <w:bookmarkStart w:id="0" w:name="page3"/>
      <w:bookmarkEnd w:id="0"/>
      <w:r>
        <w:rPr>
          <w:rFonts w:ascii="黑体" w:hAnsi="黑体" w:eastAsia="黑体"/>
          <w:sz w:val="28"/>
          <w:szCs w:val="28"/>
        </w:rPr>
        <w:br w:type="page"/>
      </w:r>
    </w:p>
    <w:p>
      <w:pPr>
        <w:spacing w:line="379" w:lineRule="auto"/>
        <w:ind w:right="120"/>
        <w:rPr>
          <w:rFonts w:ascii="黑体" w:hAnsi="黑体" w:eastAsia="黑体"/>
          <w:sz w:val="28"/>
          <w:szCs w:val="28"/>
        </w:rPr>
      </w:pPr>
      <w:r>
        <w:rPr>
          <w:rFonts w:hint="eastAsia" w:ascii="黑体" w:hAnsi="黑体" w:eastAsia="黑体"/>
          <w:sz w:val="28"/>
          <w:szCs w:val="28"/>
        </w:rPr>
        <w:t xml:space="preserve">附件1   </w:t>
      </w:r>
    </w:p>
    <w:p>
      <w:pPr>
        <w:spacing w:line="379" w:lineRule="auto"/>
        <w:ind w:right="120"/>
        <w:jc w:val="center"/>
        <w:rPr>
          <w:rFonts w:ascii="宋体" w:hAnsi="宋体"/>
          <w:b/>
          <w:sz w:val="32"/>
          <w:szCs w:val="32"/>
        </w:rPr>
      </w:pPr>
      <w:r>
        <w:rPr>
          <w:rFonts w:hint="eastAsia" w:ascii="宋体" w:hAnsi="宋体"/>
          <w:b/>
          <w:sz w:val="32"/>
          <w:szCs w:val="32"/>
        </w:rPr>
        <w:t>山东理工大学本科专业评估定量指标体系</w:t>
      </w:r>
    </w:p>
    <w:p>
      <w:pPr>
        <w:spacing w:line="379" w:lineRule="auto"/>
        <w:ind w:right="120" w:firstLine="560" w:firstLineChars="200"/>
        <w:rPr>
          <w:rFonts w:ascii="宋体" w:hAnsi="宋体"/>
          <w:sz w:val="28"/>
          <w:szCs w:val="28"/>
        </w:rPr>
      </w:pPr>
      <w:r>
        <w:rPr>
          <w:rFonts w:hint="eastAsia" w:ascii="宋体" w:hAnsi="宋体"/>
          <w:sz w:val="28"/>
          <w:szCs w:val="28"/>
        </w:rPr>
        <w:t>包含4个一级指标，9个二级指标和25个观测点。由《专业类教学质量国家标准》、本科教学基本状态数据中的数据以及教务处、招生就业处、学生处、创新创业学院、人力资源处等职能部门提供的数据，作为定量指标中各观测点的基准数据和专业现状数据。定量评估在专业评估系统中进行。</w:t>
      </w:r>
    </w:p>
    <w:p>
      <w:pPr>
        <w:adjustRightInd w:val="0"/>
        <w:spacing w:line="520" w:lineRule="exact"/>
        <w:ind w:firstLine="560" w:firstLineChars="200"/>
        <w:rPr>
          <w:rFonts w:ascii="宋体" w:hAnsi="宋体"/>
          <w:sz w:val="28"/>
          <w:szCs w:val="28"/>
        </w:rPr>
      </w:pPr>
      <w:r>
        <w:rPr>
          <w:rFonts w:hint="eastAsia" w:ascii="宋体" w:hAnsi="宋体"/>
          <w:sz w:val="28"/>
          <w:szCs w:val="28"/>
        </w:rPr>
        <w:t>定量指标满分为100分。在评分说明中列出了各观测点的基准分和最高分，评分是在基准分的基础上进行加分或者减分，最后得分是加减之后的代数和，不超过该观测点的最高分值。</w:t>
      </w:r>
    </w:p>
    <w:tbl>
      <w:tblPr>
        <w:tblStyle w:val="10"/>
        <w:tblW w:w="84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768"/>
        <w:gridCol w:w="1703"/>
        <w:gridCol w:w="3116"/>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824" w:type="dxa"/>
            <w:vMerge w:val="restart"/>
            <w:vAlign w:val="center"/>
          </w:tcPr>
          <w:p>
            <w:pPr>
              <w:spacing w:line="320" w:lineRule="exact"/>
              <w:jc w:val="left"/>
              <w:rPr>
                <w:rFonts w:ascii="宋体" w:hAnsi="宋体"/>
                <w:b/>
                <w:szCs w:val="21"/>
              </w:rPr>
            </w:pPr>
            <w:r>
              <w:rPr>
                <w:rFonts w:hint="eastAsia" w:ascii="宋体" w:hAnsi="宋体"/>
                <w:b/>
                <w:szCs w:val="21"/>
              </w:rPr>
              <w:t>一级指标</w:t>
            </w:r>
          </w:p>
        </w:tc>
        <w:tc>
          <w:tcPr>
            <w:tcW w:w="768" w:type="dxa"/>
            <w:vMerge w:val="restart"/>
            <w:vAlign w:val="center"/>
          </w:tcPr>
          <w:p>
            <w:pPr>
              <w:spacing w:line="320" w:lineRule="exact"/>
              <w:jc w:val="center"/>
              <w:rPr>
                <w:rFonts w:ascii="宋体" w:hAnsi="宋体"/>
                <w:b/>
                <w:szCs w:val="21"/>
              </w:rPr>
            </w:pPr>
            <w:r>
              <w:rPr>
                <w:rFonts w:hint="eastAsia" w:ascii="宋体" w:hAnsi="宋体"/>
                <w:b/>
                <w:szCs w:val="21"/>
              </w:rPr>
              <w:t>二级指标</w:t>
            </w:r>
          </w:p>
        </w:tc>
        <w:tc>
          <w:tcPr>
            <w:tcW w:w="6898" w:type="dxa"/>
            <w:gridSpan w:val="3"/>
            <w:tcBorders>
              <w:bottom w:val="single" w:color="auto" w:sz="4" w:space="0"/>
            </w:tcBorders>
            <w:vAlign w:val="center"/>
          </w:tcPr>
          <w:p>
            <w:pPr>
              <w:spacing w:line="320" w:lineRule="exact"/>
              <w:jc w:val="center"/>
              <w:rPr>
                <w:rFonts w:ascii="宋体" w:hAnsi="宋体"/>
                <w:b/>
                <w:szCs w:val="21"/>
              </w:rPr>
            </w:pPr>
            <w:r>
              <w:rPr>
                <w:rFonts w:hint="eastAsia" w:ascii="宋体" w:hAnsi="宋体"/>
                <w:b/>
                <w:szCs w:val="21"/>
              </w:rPr>
              <w:t>客观性评估指标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824" w:type="dxa"/>
            <w:vMerge w:val="continue"/>
            <w:tcBorders>
              <w:bottom w:val="single" w:color="000000" w:sz="4" w:space="0"/>
            </w:tcBorders>
            <w:vAlign w:val="center"/>
          </w:tcPr>
          <w:p>
            <w:pPr>
              <w:spacing w:line="320" w:lineRule="exact"/>
              <w:jc w:val="center"/>
              <w:rPr>
                <w:rFonts w:ascii="宋体" w:hAnsi="宋体"/>
                <w:b/>
                <w:szCs w:val="21"/>
              </w:rPr>
            </w:pPr>
          </w:p>
        </w:tc>
        <w:tc>
          <w:tcPr>
            <w:tcW w:w="768" w:type="dxa"/>
            <w:vMerge w:val="continue"/>
            <w:tcBorders>
              <w:bottom w:val="single" w:color="000000" w:sz="4" w:space="0"/>
            </w:tcBorders>
            <w:vAlign w:val="center"/>
          </w:tcPr>
          <w:p>
            <w:pPr>
              <w:spacing w:line="320" w:lineRule="exact"/>
              <w:jc w:val="center"/>
              <w:rPr>
                <w:rFonts w:ascii="宋体" w:hAnsi="宋体"/>
                <w:b/>
                <w:szCs w:val="21"/>
              </w:rPr>
            </w:pPr>
          </w:p>
        </w:tc>
        <w:tc>
          <w:tcPr>
            <w:tcW w:w="1703" w:type="dxa"/>
            <w:tcBorders>
              <w:top w:val="single" w:color="auto" w:sz="4" w:space="0"/>
              <w:bottom w:val="single" w:color="000000" w:sz="4" w:space="0"/>
            </w:tcBorders>
            <w:vAlign w:val="center"/>
          </w:tcPr>
          <w:p>
            <w:pPr>
              <w:spacing w:line="320" w:lineRule="exact"/>
              <w:jc w:val="center"/>
              <w:rPr>
                <w:rFonts w:ascii="宋体" w:hAnsi="宋体"/>
                <w:b/>
                <w:szCs w:val="21"/>
              </w:rPr>
            </w:pPr>
            <w:r>
              <w:rPr>
                <w:rFonts w:hint="eastAsia" w:ascii="宋体" w:hAnsi="宋体"/>
                <w:b/>
                <w:szCs w:val="21"/>
              </w:rPr>
              <w:t>观测点</w:t>
            </w:r>
          </w:p>
        </w:tc>
        <w:tc>
          <w:tcPr>
            <w:tcW w:w="3116" w:type="dxa"/>
            <w:tcBorders>
              <w:top w:val="single" w:color="auto" w:sz="4" w:space="0"/>
              <w:bottom w:val="single" w:color="000000" w:sz="4" w:space="0"/>
            </w:tcBorders>
            <w:vAlign w:val="center"/>
          </w:tcPr>
          <w:p>
            <w:pPr>
              <w:spacing w:line="320" w:lineRule="exact"/>
              <w:jc w:val="center"/>
              <w:rPr>
                <w:rFonts w:ascii="宋体" w:hAnsi="宋体"/>
                <w:b/>
                <w:szCs w:val="21"/>
              </w:rPr>
            </w:pPr>
            <w:r>
              <w:rPr>
                <w:rFonts w:hint="eastAsia" w:ascii="宋体" w:hAnsi="宋体"/>
                <w:b/>
                <w:szCs w:val="21"/>
              </w:rPr>
              <w:t>评分说明</w:t>
            </w:r>
          </w:p>
        </w:tc>
        <w:tc>
          <w:tcPr>
            <w:tcW w:w="2079" w:type="dxa"/>
            <w:tcBorders>
              <w:top w:val="single" w:color="auto" w:sz="4" w:space="0"/>
              <w:bottom w:val="single" w:color="000000" w:sz="4" w:space="0"/>
            </w:tcBorders>
            <w:vAlign w:val="center"/>
          </w:tcPr>
          <w:p>
            <w:pPr>
              <w:spacing w:line="320" w:lineRule="exact"/>
              <w:jc w:val="center"/>
              <w:rPr>
                <w:rFonts w:ascii="宋体" w:hAnsi="宋体"/>
                <w:b/>
                <w:szCs w:val="21"/>
              </w:rPr>
            </w:pPr>
            <w:r>
              <w:rPr>
                <w:rFonts w:hint="eastAsia" w:ascii="宋体" w:hAnsi="宋体"/>
                <w:b/>
                <w:szCs w:val="21"/>
              </w:rPr>
              <w:t>指标解读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824" w:type="dxa"/>
            <w:vMerge w:val="restart"/>
            <w:vAlign w:val="center"/>
          </w:tcPr>
          <w:p>
            <w:pPr>
              <w:autoSpaceDE w:val="0"/>
              <w:autoSpaceDN w:val="0"/>
              <w:adjustRightInd w:val="0"/>
              <w:spacing w:line="320" w:lineRule="exact"/>
              <w:jc w:val="center"/>
              <w:rPr>
                <w:rFonts w:ascii="宋体" w:hAnsi="宋体"/>
                <w:kern w:val="0"/>
                <w:szCs w:val="21"/>
              </w:rPr>
            </w:pPr>
            <w:r>
              <w:rPr>
                <w:rFonts w:ascii="宋体" w:hAnsi="宋体"/>
                <w:kern w:val="0"/>
                <w:szCs w:val="21"/>
              </w:rPr>
              <w:t>1.</w:t>
            </w:r>
          </w:p>
          <w:p>
            <w:pPr>
              <w:autoSpaceDE w:val="0"/>
              <w:autoSpaceDN w:val="0"/>
              <w:adjustRightInd w:val="0"/>
              <w:spacing w:line="320" w:lineRule="exact"/>
              <w:jc w:val="center"/>
              <w:rPr>
                <w:rFonts w:ascii="宋体" w:hAnsi="宋体"/>
                <w:kern w:val="0"/>
                <w:szCs w:val="21"/>
              </w:rPr>
            </w:pPr>
            <w:r>
              <w:rPr>
                <w:rFonts w:hint="eastAsia" w:ascii="宋体" w:hAnsi="宋体"/>
                <w:kern w:val="0"/>
                <w:szCs w:val="21"/>
              </w:rPr>
              <w:t>师资</w:t>
            </w:r>
          </w:p>
          <w:p>
            <w:pPr>
              <w:autoSpaceDE w:val="0"/>
              <w:autoSpaceDN w:val="0"/>
              <w:adjustRightInd w:val="0"/>
              <w:spacing w:line="320" w:lineRule="exact"/>
              <w:jc w:val="center"/>
              <w:rPr>
                <w:rFonts w:ascii="宋体" w:hAnsi="宋体"/>
                <w:kern w:val="0"/>
                <w:szCs w:val="21"/>
              </w:rPr>
            </w:pPr>
            <w:r>
              <w:rPr>
                <w:rFonts w:hint="eastAsia" w:ascii="宋体" w:hAnsi="宋体"/>
                <w:kern w:val="0"/>
                <w:szCs w:val="21"/>
              </w:rPr>
              <w:t>队伍</w:t>
            </w:r>
          </w:p>
          <w:p>
            <w:pPr>
              <w:autoSpaceDE w:val="0"/>
              <w:autoSpaceDN w:val="0"/>
              <w:adjustRightInd w:val="0"/>
              <w:spacing w:line="320" w:lineRule="exact"/>
              <w:jc w:val="center"/>
              <w:rPr>
                <w:rFonts w:ascii="宋体" w:hAnsi="宋体"/>
                <w:kern w:val="0"/>
                <w:szCs w:val="21"/>
              </w:rPr>
            </w:pPr>
            <w:r>
              <w:rPr>
                <w:rFonts w:hint="eastAsia" w:ascii="宋体" w:hAnsi="宋体"/>
                <w:kern w:val="0"/>
                <w:szCs w:val="21"/>
              </w:rPr>
              <w:t>结构及教学水平</w:t>
            </w:r>
          </w:p>
          <w:p>
            <w:pPr>
              <w:autoSpaceDE w:val="0"/>
              <w:autoSpaceDN w:val="0"/>
              <w:adjustRightInd w:val="0"/>
              <w:spacing w:line="320" w:lineRule="exact"/>
              <w:jc w:val="center"/>
              <w:rPr>
                <w:rFonts w:ascii="宋体" w:hAnsi="宋体"/>
                <w:kern w:val="0"/>
                <w:szCs w:val="21"/>
              </w:rPr>
            </w:pPr>
            <w:r>
              <w:rPr>
                <w:rFonts w:hint="eastAsia" w:ascii="宋体" w:hAnsi="宋体"/>
                <w:szCs w:val="21"/>
              </w:rPr>
              <w:t>(30分)</w:t>
            </w:r>
          </w:p>
        </w:tc>
        <w:tc>
          <w:tcPr>
            <w:tcW w:w="768" w:type="dxa"/>
            <w:vMerge w:val="restart"/>
            <w:vAlign w:val="center"/>
          </w:tcPr>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1.1</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数量</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结构</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与</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访学</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交流</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szCs w:val="21"/>
              </w:rPr>
              <w:t>(18分)</w:t>
            </w:r>
          </w:p>
        </w:tc>
        <w:tc>
          <w:tcPr>
            <w:tcW w:w="1703" w:type="dxa"/>
            <w:tcBorders>
              <w:bottom w:val="single" w:color="auto" w:sz="4" w:space="0"/>
            </w:tcBorders>
            <w:vAlign w:val="center"/>
          </w:tcPr>
          <w:p>
            <w:pPr>
              <w:autoSpaceDE w:val="0"/>
              <w:autoSpaceDN w:val="0"/>
              <w:adjustRightInd w:val="0"/>
              <w:spacing w:line="320" w:lineRule="exact"/>
              <w:ind w:left="-107" w:leftChars="-51"/>
              <w:jc w:val="left"/>
              <w:rPr>
                <w:rFonts w:ascii="宋体" w:hAnsi="宋体"/>
                <w:szCs w:val="21"/>
              </w:rPr>
            </w:pPr>
            <w:r>
              <w:rPr>
                <w:rFonts w:hint="eastAsia" w:ascii="宋体" w:hAnsi="宋体"/>
                <w:kern w:val="0"/>
                <w:szCs w:val="21"/>
              </w:rPr>
              <w:t>[1] 专任全职教师数量</w:t>
            </w:r>
            <w:r>
              <w:rPr>
                <w:rFonts w:hint="eastAsia" w:ascii="宋体" w:hAnsi="宋体"/>
                <w:szCs w:val="21"/>
              </w:rPr>
              <w:t>(3.2分)</w:t>
            </w:r>
          </w:p>
        </w:tc>
        <w:tc>
          <w:tcPr>
            <w:tcW w:w="3116" w:type="dxa"/>
            <w:tcBorders>
              <w:top w:val="single" w:color="auto" w:sz="4" w:space="0"/>
              <w:bottom w:val="single" w:color="auto"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基准分为2分。高于国家标准1名加0.2分，低于国家标准1名减0.2分。最高3.2分。</w:t>
            </w:r>
          </w:p>
        </w:tc>
        <w:tc>
          <w:tcPr>
            <w:tcW w:w="2079" w:type="dxa"/>
            <w:tcBorders>
              <w:top w:val="single" w:color="auto" w:sz="4" w:space="0"/>
              <w:bottom w:val="single" w:color="auto" w:sz="4" w:space="0"/>
            </w:tcBorders>
            <w:vAlign w:val="center"/>
          </w:tcPr>
          <w:p>
            <w:pPr>
              <w:autoSpaceDE w:val="0"/>
              <w:autoSpaceDN w:val="0"/>
              <w:adjustRightInd w:val="0"/>
              <w:spacing w:line="320" w:lineRule="exact"/>
              <w:jc w:val="left"/>
              <w:rPr>
                <w:rFonts w:ascii="宋体" w:hAnsi="宋体"/>
                <w:szCs w:val="21"/>
              </w:rPr>
            </w:pPr>
            <w:r>
              <w:rPr>
                <w:rFonts w:hint="eastAsia" w:ascii="宋体" w:hAnsi="宋体"/>
                <w:kern w:val="0"/>
                <w:szCs w:val="21"/>
              </w:rPr>
              <w:t>国家质量标准中规定的专任教师数，应包含招生每增加一定数量所需增加的教师数。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top w:val="single" w:color="auto" w:sz="4" w:space="0"/>
              <w:bottom w:val="single" w:color="000000"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[2] 生师比</w:t>
            </w:r>
            <w:r>
              <w:rPr>
                <w:rFonts w:hint="eastAsia" w:ascii="宋体" w:hAnsi="宋体"/>
                <w:szCs w:val="21"/>
              </w:rPr>
              <w:t>(3.6分)</w:t>
            </w:r>
          </w:p>
        </w:tc>
        <w:tc>
          <w:tcPr>
            <w:tcW w:w="3116" w:type="dxa"/>
            <w:tcBorders>
              <w:top w:val="single" w:color="auto" w:sz="4" w:space="0"/>
              <w:bottom w:val="single" w:color="000000"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基准分为2分。高于国家标准每0.5个点减0.2分，低于标准每0.5个点加0.2分。最高3.6分。</w:t>
            </w:r>
          </w:p>
        </w:tc>
        <w:tc>
          <w:tcPr>
            <w:tcW w:w="2079" w:type="dxa"/>
            <w:vMerge w:val="restart"/>
            <w:tcBorders>
              <w:top w:val="single" w:color="auto"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 xml:space="preserve">见专业类国家质量标准。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top w:val="single" w:color="auto" w:sz="4" w:space="0"/>
              <w:bottom w:val="single" w:color="000000"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[3] 专任教师高级职称结构</w:t>
            </w:r>
            <w:r>
              <w:rPr>
                <w:rFonts w:hint="eastAsia" w:ascii="宋体" w:hAnsi="宋体"/>
                <w:szCs w:val="21"/>
              </w:rPr>
              <w:t>(3.6分)</w:t>
            </w:r>
          </w:p>
        </w:tc>
        <w:tc>
          <w:tcPr>
            <w:tcW w:w="3116" w:type="dxa"/>
            <w:tcBorders>
              <w:top w:val="single" w:color="auto" w:sz="4" w:space="0"/>
              <w:bottom w:val="single" w:color="000000"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基准分为2分。高于国家标准每0.5个百分点加0.2分，低于标准每0.5个百分点减0.2分。最高3.6分。</w:t>
            </w:r>
          </w:p>
        </w:tc>
        <w:tc>
          <w:tcPr>
            <w:tcW w:w="2079" w:type="dxa"/>
            <w:vMerge w:val="continue"/>
            <w:vAlign w:val="center"/>
          </w:tcPr>
          <w:p>
            <w:pPr>
              <w:autoSpaceDE w:val="0"/>
              <w:autoSpaceDN w:val="0"/>
              <w:adjustRightInd w:val="0"/>
              <w:spacing w:line="320" w:lineRule="exact"/>
              <w:jc w:val="lef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bottom w:val="single" w:color="auto"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[4]专任教师硕士、博士学位比例</w:t>
            </w:r>
            <w:r>
              <w:rPr>
                <w:rFonts w:hint="eastAsia" w:ascii="宋体" w:hAnsi="宋体"/>
                <w:szCs w:val="21"/>
              </w:rPr>
              <w:t>(3.6分)</w:t>
            </w:r>
          </w:p>
        </w:tc>
        <w:tc>
          <w:tcPr>
            <w:tcW w:w="3116" w:type="dxa"/>
            <w:tcBorders>
              <w:bottom w:val="single" w:color="auto"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基准分为2分。高于国家标准每0.5个百分点加0.2分，低于标准每0.5个百分点减0.2分。最高3.6分。</w:t>
            </w:r>
          </w:p>
        </w:tc>
        <w:tc>
          <w:tcPr>
            <w:tcW w:w="2079" w:type="dxa"/>
            <w:vMerge w:val="continue"/>
            <w:tcBorders>
              <w:bottom w:val="single" w:color="auto" w:sz="4" w:space="0"/>
            </w:tcBorders>
            <w:vAlign w:val="center"/>
          </w:tcPr>
          <w:p>
            <w:pPr>
              <w:spacing w:line="320" w:lineRule="exact"/>
              <w:jc w:val="lef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bottom w:val="single" w:color="auto" w:sz="4" w:space="0"/>
            </w:tcBorders>
            <w:vAlign w:val="center"/>
          </w:tcPr>
          <w:p>
            <w:pPr>
              <w:spacing w:line="320" w:lineRule="exact"/>
              <w:rPr>
                <w:rFonts w:ascii="宋体" w:hAnsi="宋体"/>
                <w:szCs w:val="21"/>
              </w:rPr>
            </w:pPr>
            <w:r>
              <w:rPr>
                <w:rFonts w:hint="eastAsia" w:ascii="宋体" w:hAnsi="宋体"/>
                <w:szCs w:val="21"/>
              </w:rPr>
              <w:t>[5]交流与社会服务(4分)</w:t>
            </w:r>
          </w:p>
        </w:tc>
        <w:tc>
          <w:tcPr>
            <w:tcW w:w="3116" w:type="dxa"/>
            <w:tcBorders>
              <w:bottom w:val="single" w:color="auto" w:sz="4" w:space="0"/>
            </w:tcBorders>
            <w:vAlign w:val="center"/>
          </w:tcPr>
          <w:p>
            <w:pPr>
              <w:spacing w:line="320" w:lineRule="exact"/>
              <w:rPr>
                <w:rFonts w:ascii="宋体" w:hAnsi="宋体"/>
                <w:szCs w:val="21"/>
              </w:rPr>
            </w:pPr>
            <w:r>
              <w:rPr>
                <w:rFonts w:hint="eastAsia" w:ascii="宋体" w:hAnsi="宋体"/>
                <w:kern w:val="0"/>
                <w:szCs w:val="21"/>
              </w:rPr>
              <w:t>基准分为1分。</w:t>
            </w:r>
            <w:r>
              <w:rPr>
                <w:rFonts w:hint="eastAsia" w:ascii="宋体" w:hAnsi="宋体"/>
                <w:szCs w:val="21"/>
              </w:rPr>
              <w:t>近三年专业教师出国访学半年以上1人次加0.2分；主办过省级以上专业学术（教学）会议1次加0.5分；通过面向社会组织的学科专业培训、讲座或其他形式进行的社会服务活动1次加0.3分。最高4分。</w:t>
            </w:r>
          </w:p>
        </w:tc>
        <w:tc>
          <w:tcPr>
            <w:tcW w:w="2079" w:type="dxa"/>
            <w:tcBorders>
              <w:bottom w:val="single" w:color="auto" w:sz="4" w:space="0"/>
            </w:tcBorders>
            <w:vAlign w:val="center"/>
          </w:tcPr>
          <w:p>
            <w:pPr>
              <w:spacing w:line="320" w:lineRule="exact"/>
              <w:jc w:val="left"/>
              <w:rPr>
                <w:rFonts w:ascii="宋体" w:hAnsi="宋体"/>
                <w:kern w:val="0"/>
                <w:szCs w:val="21"/>
              </w:rPr>
            </w:pPr>
            <w:r>
              <w:rPr>
                <w:rFonts w:hint="eastAsia" w:ascii="宋体" w:hAnsi="宋体"/>
                <w:kern w:val="0"/>
                <w:szCs w:val="21"/>
              </w:rPr>
              <w:t>由学院提供情况汇总，相关部门审核。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restart"/>
            <w:vAlign w:val="center"/>
          </w:tcPr>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1.2教学情况及</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教学荣誉</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szCs w:val="21"/>
              </w:rPr>
              <w:t>(12分)</w:t>
            </w:r>
          </w:p>
        </w:tc>
        <w:tc>
          <w:tcPr>
            <w:tcW w:w="1703" w:type="dxa"/>
            <w:tcBorders>
              <w:bottom w:val="single" w:color="auto" w:sz="4" w:space="0"/>
            </w:tcBorders>
            <w:vAlign w:val="center"/>
          </w:tcPr>
          <w:p>
            <w:pPr>
              <w:keepNext/>
              <w:spacing w:line="280" w:lineRule="exact"/>
              <w:jc w:val="left"/>
              <w:outlineLvl w:val="0"/>
              <w:rPr>
                <w:rFonts w:ascii="宋体" w:hAnsi="宋体"/>
                <w:sz w:val="22"/>
              </w:rPr>
            </w:pPr>
            <w:r>
              <w:rPr>
                <w:rFonts w:hint="eastAsia" w:ascii="宋体" w:hAnsi="宋体"/>
                <w:sz w:val="22"/>
              </w:rPr>
              <w:t>[6]教授、副教授为本科生上课比例</w:t>
            </w:r>
            <w:r>
              <w:rPr>
                <w:rFonts w:hint="eastAsia" w:ascii="宋体" w:hAnsi="宋体"/>
                <w:szCs w:val="21"/>
              </w:rPr>
              <w:t>(3分)</w:t>
            </w:r>
          </w:p>
        </w:tc>
        <w:tc>
          <w:tcPr>
            <w:tcW w:w="3116" w:type="dxa"/>
            <w:tcBorders>
              <w:bottom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基准分为2分。</w:t>
            </w:r>
            <w:r>
              <w:rPr>
                <w:rFonts w:hint="eastAsia" w:ascii="宋体" w:hAnsi="宋体"/>
                <w:szCs w:val="21"/>
              </w:rPr>
              <w:t>基数为95%。每提高0.5个百分点加0.1分，每减少5个百分点减0.1分。最高3分</w:t>
            </w:r>
            <w:r>
              <w:rPr>
                <w:rFonts w:hint="eastAsia" w:ascii="宋体" w:hAnsi="宋体"/>
                <w:kern w:val="0"/>
                <w:szCs w:val="21"/>
              </w:rPr>
              <w:t>。</w:t>
            </w:r>
          </w:p>
        </w:tc>
        <w:tc>
          <w:tcPr>
            <w:tcW w:w="2079" w:type="dxa"/>
            <w:tcBorders>
              <w:bottom w:val="single" w:color="auto" w:sz="4" w:space="0"/>
            </w:tcBorders>
            <w:vAlign w:val="center"/>
          </w:tcPr>
          <w:p>
            <w:pPr>
              <w:spacing w:line="320" w:lineRule="exact"/>
              <w:jc w:val="left"/>
              <w:rPr>
                <w:rFonts w:ascii="宋体" w:hAnsi="宋体"/>
                <w:szCs w:val="21"/>
              </w:rPr>
            </w:pPr>
            <w:r>
              <w:rPr>
                <w:rFonts w:hint="eastAsia" w:ascii="宋体" w:hAnsi="宋体"/>
                <w:szCs w:val="21"/>
              </w:rPr>
              <w:t>近三年平均值；包括本专业受聘的所有在职教师。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bottom w:val="single" w:color="auto" w:sz="4" w:space="0"/>
            </w:tcBorders>
            <w:vAlign w:val="center"/>
          </w:tcPr>
          <w:p>
            <w:pPr>
              <w:keepNext/>
              <w:spacing w:line="280" w:lineRule="exact"/>
              <w:jc w:val="left"/>
              <w:outlineLvl w:val="0"/>
              <w:rPr>
                <w:rFonts w:ascii="宋体" w:hAnsi="宋体"/>
                <w:sz w:val="22"/>
              </w:rPr>
            </w:pPr>
            <w:r>
              <w:rPr>
                <w:rFonts w:hint="eastAsia" w:ascii="宋体" w:hAnsi="宋体"/>
                <w:sz w:val="22"/>
              </w:rPr>
              <w:t>[7]授课质量</w:t>
            </w:r>
            <w:r>
              <w:rPr>
                <w:rFonts w:hint="eastAsia" w:ascii="宋体" w:hAnsi="宋体"/>
                <w:szCs w:val="21"/>
              </w:rPr>
              <w:t>(2分)</w:t>
            </w:r>
          </w:p>
        </w:tc>
        <w:tc>
          <w:tcPr>
            <w:tcW w:w="3116" w:type="dxa"/>
            <w:tcBorders>
              <w:bottom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基准分为1.5分。</w:t>
            </w:r>
            <w:r>
              <w:rPr>
                <w:rFonts w:hint="eastAsia" w:ascii="宋体" w:hAnsi="宋体"/>
                <w:szCs w:val="21"/>
              </w:rPr>
              <w:t>近三年专业教师教学质量评价90分以上比例超过学校平均比例0.5个百分点加0.1分；低于75分1人减0.1分。最高2分</w:t>
            </w:r>
            <w:r>
              <w:rPr>
                <w:rFonts w:hint="eastAsia" w:ascii="宋体" w:hAnsi="宋体"/>
                <w:kern w:val="0"/>
                <w:szCs w:val="21"/>
              </w:rPr>
              <w:t>。</w:t>
            </w:r>
          </w:p>
        </w:tc>
        <w:tc>
          <w:tcPr>
            <w:tcW w:w="2079" w:type="dxa"/>
            <w:tcBorders>
              <w:bottom w:val="single" w:color="auto" w:sz="4" w:space="0"/>
            </w:tcBorders>
            <w:vAlign w:val="center"/>
          </w:tcPr>
          <w:p>
            <w:pPr>
              <w:spacing w:line="320" w:lineRule="exact"/>
              <w:jc w:val="left"/>
              <w:rPr>
                <w:rFonts w:ascii="宋体" w:hAnsi="宋体"/>
                <w:szCs w:val="21"/>
              </w:rPr>
            </w:pPr>
            <w:r>
              <w:rPr>
                <w:rFonts w:hint="eastAsia" w:ascii="宋体" w:hAnsi="宋体"/>
                <w:szCs w:val="21"/>
              </w:rPr>
              <w:t>90分以上比例取近三年平均值；低于75分人次指近三年累计值。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bottom w:val="single" w:color="auto" w:sz="4" w:space="0"/>
            </w:tcBorders>
            <w:vAlign w:val="center"/>
          </w:tcPr>
          <w:p>
            <w:pPr>
              <w:keepNext/>
              <w:spacing w:line="280" w:lineRule="exact"/>
              <w:jc w:val="left"/>
              <w:outlineLvl w:val="0"/>
              <w:rPr>
                <w:rFonts w:ascii="宋体" w:hAnsi="宋体"/>
                <w:sz w:val="22"/>
              </w:rPr>
            </w:pPr>
            <w:r>
              <w:rPr>
                <w:rFonts w:hint="eastAsia" w:ascii="宋体" w:hAnsi="宋体"/>
                <w:sz w:val="22"/>
              </w:rPr>
              <w:t>[8]教师荣誉与奖励</w:t>
            </w:r>
            <w:r>
              <w:rPr>
                <w:rFonts w:hint="eastAsia" w:ascii="宋体" w:hAnsi="宋体"/>
                <w:szCs w:val="21"/>
              </w:rPr>
              <w:t>(7分)</w:t>
            </w:r>
          </w:p>
        </w:tc>
        <w:tc>
          <w:tcPr>
            <w:tcW w:w="3116" w:type="dxa"/>
            <w:tcBorders>
              <w:bottom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基准分为3.5分。</w:t>
            </w:r>
            <w:r>
              <w:rPr>
                <w:rFonts w:hint="eastAsia" w:ascii="宋体" w:hAnsi="宋体"/>
                <w:szCs w:val="21"/>
              </w:rPr>
              <w:t>近三年获得省级奖励0.5分/人次，校级奖励0.1分/人次。</w:t>
            </w:r>
            <w:r>
              <w:rPr>
                <w:rFonts w:hint="eastAsia" w:ascii="宋体" w:hAnsi="宋体"/>
                <w:kern w:val="0"/>
                <w:szCs w:val="21"/>
              </w:rPr>
              <w:t>最高7分。</w:t>
            </w:r>
          </w:p>
        </w:tc>
        <w:tc>
          <w:tcPr>
            <w:tcW w:w="2079" w:type="dxa"/>
            <w:tcBorders>
              <w:bottom w:val="single" w:color="auto" w:sz="4" w:space="0"/>
            </w:tcBorders>
            <w:vAlign w:val="center"/>
          </w:tcPr>
          <w:p>
            <w:pPr>
              <w:spacing w:line="320" w:lineRule="exact"/>
              <w:jc w:val="left"/>
              <w:rPr>
                <w:rFonts w:ascii="宋体" w:hAnsi="宋体"/>
                <w:szCs w:val="21"/>
              </w:rPr>
            </w:pPr>
            <w:r>
              <w:rPr>
                <w:rFonts w:hint="eastAsia" w:ascii="宋体" w:hAnsi="宋体"/>
                <w:szCs w:val="21"/>
              </w:rPr>
              <w:t>由教务处认定，不含其他观测点中包含的奖项。同一人或同一团队按最高级别。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24" w:type="dxa"/>
            <w:vMerge w:val="restart"/>
            <w:vAlign w:val="center"/>
          </w:tcPr>
          <w:p>
            <w:pPr>
              <w:autoSpaceDE w:val="0"/>
              <w:autoSpaceDN w:val="0"/>
              <w:adjustRightInd w:val="0"/>
              <w:spacing w:line="320" w:lineRule="exact"/>
              <w:jc w:val="center"/>
              <w:rPr>
                <w:rFonts w:ascii="宋体" w:hAnsi="宋体"/>
                <w:kern w:val="0"/>
                <w:szCs w:val="21"/>
              </w:rPr>
            </w:pPr>
            <w:r>
              <w:rPr>
                <w:rFonts w:hint="eastAsia" w:ascii="宋体" w:hAnsi="宋体"/>
                <w:kern w:val="0"/>
                <w:szCs w:val="21"/>
              </w:rPr>
              <w:t>2.教学建设与改革</w:t>
            </w:r>
          </w:p>
          <w:p>
            <w:pPr>
              <w:autoSpaceDE w:val="0"/>
              <w:autoSpaceDN w:val="0"/>
              <w:adjustRightInd w:val="0"/>
              <w:spacing w:line="320" w:lineRule="exact"/>
              <w:jc w:val="center"/>
              <w:rPr>
                <w:rFonts w:ascii="宋体" w:hAnsi="宋体"/>
                <w:kern w:val="0"/>
                <w:szCs w:val="21"/>
              </w:rPr>
            </w:pPr>
            <w:r>
              <w:rPr>
                <w:rFonts w:hint="eastAsia" w:ascii="宋体" w:hAnsi="宋体"/>
                <w:szCs w:val="21"/>
              </w:rPr>
              <w:t>(30分)</w:t>
            </w:r>
          </w:p>
        </w:tc>
        <w:tc>
          <w:tcPr>
            <w:tcW w:w="768" w:type="dxa"/>
            <w:vMerge w:val="restart"/>
            <w:vAlign w:val="center"/>
          </w:tcPr>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2.1专业建设项目及成果</w:t>
            </w:r>
            <w:r>
              <w:rPr>
                <w:rFonts w:hint="eastAsia" w:ascii="宋体" w:hAnsi="宋体"/>
                <w:szCs w:val="21"/>
              </w:rPr>
              <w:t>(15分)</w:t>
            </w:r>
          </w:p>
        </w:tc>
        <w:tc>
          <w:tcPr>
            <w:tcW w:w="1703" w:type="dxa"/>
            <w:tcBorders>
              <w:top w:val="single" w:color="auto" w:sz="4" w:space="0"/>
              <w:bottom w:val="single" w:color="auto"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[9]专业建设项目及成果</w:t>
            </w:r>
            <w:r>
              <w:rPr>
                <w:rFonts w:hint="eastAsia" w:ascii="宋体" w:hAnsi="宋体"/>
                <w:szCs w:val="21"/>
              </w:rPr>
              <w:t>(8分)</w:t>
            </w:r>
          </w:p>
        </w:tc>
        <w:tc>
          <w:tcPr>
            <w:tcW w:w="3116" w:type="dxa"/>
            <w:tcBorders>
              <w:top w:val="single" w:color="auto" w:sz="4" w:space="0"/>
              <w:bottom w:val="single" w:color="auto"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基准分为 5分。国家级0.7分</w:t>
            </w:r>
            <w:r>
              <w:rPr>
                <w:rFonts w:hint="eastAsia" w:ascii="宋体" w:hAnsi="宋体"/>
                <w:szCs w:val="21"/>
              </w:rPr>
              <w:t>/项</w:t>
            </w:r>
            <w:r>
              <w:rPr>
                <w:rFonts w:hint="eastAsia" w:ascii="宋体" w:hAnsi="宋体"/>
                <w:kern w:val="0"/>
                <w:szCs w:val="21"/>
              </w:rPr>
              <w:t>，省级0.5分</w:t>
            </w:r>
            <w:r>
              <w:rPr>
                <w:rFonts w:hint="eastAsia" w:ascii="宋体" w:hAnsi="宋体"/>
                <w:szCs w:val="21"/>
              </w:rPr>
              <w:t>/项</w:t>
            </w:r>
            <w:r>
              <w:rPr>
                <w:rFonts w:hint="eastAsia" w:ascii="宋体" w:hAnsi="宋体"/>
                <w:kern w:val="0"/>
                <w:szCs w:val="21"/>
              </w:rPr>
              <w:t>，</w:t>
            </w:r>
            <w:r>
              <w:rPr>
                <w:rFonts w:hint="eastAsia" w:ascii="宋体" w:hAnsi="宋体"/>
                <w:szCs w:val="21"/>
              </w:rPr>
              <w:t>校级0.3分/项</w:t>
            </w:r>
            <w:r>
              <w:rPr>
                <w:rFonts w:hint="eastAsia" w:ascii="宋体" w:hAnsi="宋体"/>
                <w:kern w:val="0"/>
                <w:szCs w:val="21"/>
              </w:rPr>
              <w:t>。最高8分。</w:t>
            </w:r>
          </w:p>
        </w:tc>
        <w:tc>
          <w:tcPr>
            <w:tcW w:w="2079" w:type="dxa"/>
            <w:tcBorders>
              <w:top w:val="single" w:color="auto" w:sz="4" w:space="0"/>
              <w:bottom w:val="single" w:color="auto" w:sz="4" w:space="0"/>
            </w:tcBorders>
            <w:vAlign w:val="center"/>
          </w:tcPr>
          <w:p>
            <w:pPr>
              <w:spacing w:line="320" w:lineRule="exact"/>
              <w:jc w:val="left"/>
              <w:rPr>
                <w:rFonts w:ascii="宋体" w:hAnsi="宋体"/>
                <w:kern w:val="0"/>
                <w:szCs w:val="21"/>
              </w:rPr>
            </w:pPr>
            <w:r>
              <w:rPr>
                <w:rFonts w:hint="eastAsia" w:ascii="宋体" w:hAnsi="宋体"/>
                <w:kern w:val="0"/>
                <w:szCs w:val="21"/>
              </w:rPr>
              <w:t>同一个项目及成果按最高级别，由教务处认定。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24" w:type="dxa"/>
            <w:vMerge w:val="continue"/>
            <w:vAlign w:val="center"/>
          </w:tcPr>
          <w:p>
            <w:pPr>
              <w:autoSpaceDE w:val="0"/>
              <w:autoSpaceDN w:val="0"/>
              <w:adjustRightInd w:val="0"/>
              <w:spacing w:line="320" w:lineRule="exact"/>
              <w:jc w:val="center"/>
              <w:rPr>
                <w:rFonts w:ascii="宋体" w:hAnsi="宋体"/>
                <w:kern w:val="0"/>
                <w:szCs w:val="21"/>
              </w:rPr>
            </w:pPr>
          </w:p>
        </w:tc>
        <w:tc>
          <w:tcPr>
            <w:tcW w:w="768"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703" w:type="dxa"/>
            <w:tcBorders>
              <w:top w:val="single" w:color="auto" w:sz="4" w:space="0"/>
              <w:bottom w:val="single" w:color="auto"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[10]课程建设项目及成果</w:t>
            </w:r>
            <w:r>
              <w:rPr>
                <w:rFonts w:hint="eastAsia" w:ascii="宋体" w:hAnsi="宋体"/>
                <w:szCs w:val="21"/>
              </w:rPr>
              <w:t>(7分)</w:t>
            </w:r>
          </w:p>
        </w:tc>
        <w:tc>
          <w:tcPr>
            <w:tcW w:w="3116" w:type="dxa"/>
            <w:tcBorders>
              <w:top w:val="single" w:color="auto" w:sz="4" w:space="0"/>
              <w:bottom w:val="single" w:color="auto"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基准分为 4 分。国家级0.7分</w:t>
            </w:r>
            <w:r>
              <w:rPr>
                <w:rFonts w:hint="eastAsia" w:ascii="宋体" w:hAnsi="宋体"/>
                <w:szCs w:val="21"/>
              </w:rPr>
              <w:t>/项</w:t>
            </w:r>
            <w:r>
              <w:rPr>
                <w:rFonts w:hint="eastAsia" w:ascii="宋体" w:hAnsi="宋体"/>
                <w:kern w:val="0"/>
                <w:szCs w:val="21"/>
              </w:rPr>
              <w:t>，省级0.5分</w:t>
            </w:r>
            <w:r>
              <w:rPr>
                <w:rFonts w:hint="eastAsia" w:ascii="宋体" w:hAnsi="宋体"/>
                <w:szCs w:val="21"/>
              </w:rPr>
              <w:t>/项</w:t>
            </w:r>
            <w:r>
              <w:rPr>
                <w:rFonts w:hint="eastAsia" w:ascii="宋体" w:hAnsi="宋体"/>
                <w:kern w:val="0"/>
                <w:szCs w:val="21"/>
              </w:rPr>
              <w:t>，</w:t>
            </w:r>
            <w:r>
              <w:rPr>
                <w:rFonts w:hint="eastAsia" w:ascii="宋体" w:hAnsi="宋体"/>
                <w:szCs w:val="21"/>
              </w:rPr>
              <w:t>校级0.3分/项</w:t>
            </w:r>
            <w:r>
              <w:rPr>
                <w:rFonts w:hint="eastAsia" w:ascii="宋体" w:hAnsi="宋体"/>
                <w:kern w:val="0"/>
                <w:szCs w:val="21"/>
              </w:rPr>
              <w:t>。最高7分。</w:t>
            </w:r>
          </w:p>
        </w:tc>
        <w:tc>
          <w:tcPr>
            <w:tcW w:w="2079" w:type="dxa"/>
            <w:tcBorders>
              <w:top w:val="single" w:color="auto" w:sz="4" w:space="0"/>
              <w:bottom w:val="single" w:color="auto" w:sz="4" w:space="0"/>
            </w:tcBorders>
            <w:vAlign w:val="center"/>
          </w:tcPr>
          <w:p>
            <w:pPr>
              <w:spacing w:line="320" w:lineRule="exact"/>
              <w:jc w:val="left"/>
              <w:rPr>
                <w:rFonts w:ascii="宋体" w:hAnsi="宋体"/>
                <w:kern w:val="0"/>
                <w:szCs w:val="21"/>
              </w:rPr>
            </w:pPr>
            <w:r>
              <w:rPr>
                <w:rFonts w:hint="eastAsia" w:ascii="宋体" w:hAnsi="宋体"/>
                <w:szCs w:val="21"/>
              </w:rPr>
              <w:t>同一门课程的同类项目及成果按最高级别，由教务处认定。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restart"/>
            <w:tcBorders>
              <w:top w:val="single" w:color="auto" w:sz="4" w:space="0"/>
            </w:tcBorders>
            <w:vAlign w:val="center"/>
          </w:tcPr>
          <w:p>
            <w:pPr>
              <w:spacing w:line="320" w:lineRule="exact"/>
              <w:jc w:val="center"/>
              <w:rPr>
                <w:rFonts w:ascii="宋体" w:hAnsi="宋体"/>
                <w:szCs w:val="21"/>
              </w:rPr>
            </w:pPr>
            <w:r>
              <w:rPr>
                <w:rFonts w:hint="eastAsia" w:ascii="宋体" w:hAnsi="宋体"/>
                <w:szCs w:val="21"/>
              </w:rPr>
              <w:t>2.2教学研究与成果</w:t>
            </w:r>
          </w:p>
          <w:p>
            <w:pPr>
              <w:spacing w:line="320" w:lineRule="exact"/>
              <w:jc w:val="center"/>
              <w:rPr>
                <w:rFonts w:ascii="宋体" w:hAnsi="宋体"/>
                <w:szCs w:val="21"/>
              </w:rPr>
            </w:pPr>
            <w:r>
              <w:rPr>
                <w:rFonts w:hint="eastAsia" w:ascii="宋体" w:hAnsi="宋体"/>
                <w:szCs w:val="21"/>
              </w:rPr>
              <w:t>(15分)</w:t>
            </w:r>
          </w:p>
        </w:tc>
        <w:tc>
          <w:tcPr>
            <w:tcW w:w="1703" w:type="dxa"/>
            <w:vAlign w:val="center"/>
          </w:tcPr>
          <w:p>
            <w:pPr>
              <w:spacing w:line="320" w:lineRule="exact"/>
              <w:jc w:val="left"/>
              <w:rPr>
                <w:rFonts w:ascii="宋体" w:hAnsi="宋体"/>
                <w:color w:val="FF0000"/>
                <w:szCs w:val="21"/>
              </w:rPr>
            </w:pPr>
            <w:r>
              <w:rPr>
                <w:rFonts w:hint="eastAsia" w:ascii="宋体" w:hAnsi="宋体"/>
                <w:szCs w:val="21"/>
              </w:rPr>
              <w:t>[11]教学研究与改革项目(5分)</w:t>
            </w:r>
          </w:p>
        </w:tc>
        <w:tc>
          <w:tcPr>
            <w:tcW w:w="3116" w:type="dxa"/>
            <w:vAlign w:val="center"/>
          </w:tcPr>
          <w:p>
            <w:pPr>
              <w:spacing w:line="320" w:lineRule="exact"/>
              <w:jc w:val="left"/>
              <w:rPr>
                <w:rFonts w:ascii="宋体" w:hAnsi="宋体"/>
                <w:szCs w:val="21"/>
              </w:rPr>
            </w:pPr>
            <w:r>
              <w:rPr>
                <w:rFonts w:hint="eastAsia" w:ascii="宋体" w:hAnsi="宋体"/>
                <w:kern w:val="0"/>
                <w:szCs w:val="21"/>
              </w:rPr>
              <w:t>基准分为2.5分。</w:t>
            </w:r>
            <w:r>
              <w:rPr>
                <w:rFonts w:hint="eastAsia" w:ascii="宋体" w:hAnsi="宋体"/>
                <w:szCs w:val="21"/>
              </w:rPr>
              <w:t>近三年教改立项，国家级1分/项，省级0.5分/项，校级0.2分/项。</w:t>
            </w:r>
            <w:r>
              <w:rPr>
                <w:rFonts w:hint="eastAsia" w:ascii="宋体" w:hAnsi="宋体"/>
                <w:kern w:val="0"/>
                <w:szCs w:val="21"/>
              </w:rPr>
              <w:t>最高5分。</w:t>
            </w:r>
          </w:p>
        </w:tc>
        <w:tc>
          <w:tcPr>
            <w:tcW w:w="2079" w:type="dxa"/>
            <w:vAlign w:val="center"/>
          </w:tcPr>
          <w:p>
            <w:pPr>
              <w:spacing w:line="320" w:lineRule="exact"/>
              <w:jc w:val="left"/>
              <w:rPr>
                <w:rFonts w:ascii="宋体" w:hAnsi="宋体"/>
                <w:szCs w:val="21"/>
              </w:rPr>
            </w:pPr>
            <w:r>
              <w:rPr>
                <w:rFonts w:hint="eastAsia" w:ascii="宋体" w:hAnsi="宋体"/>
                <w:szCs w:val="21"/>
              </w:rPr>
              <w:t>主要指除[10][11]以外的教学改革项目。本专业教师作为第一负责人。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vAlign w:val="center"/>
          </w:tcPr>
          <w:p>
            <w:pPr>
              <w:spacing w:line="320" w:lineRule="exact"/>
              <w:jc w:val="left"/>
              <w:rPr>
                <w:rFonts w:ascii="宋体" w:hAnsi="宋体"/>
                <w:szCs w:val="21"/>
              </w:rPr>
            </w:pPr>
            <w:r>
              <w:rPr>
                <w:rFonts w:hint="eastAsia" w:ascii="宋体" w:hAnsi="宋体"/>
                <w:szCs w:val="21"/>
              </w:rPr>
              <w:t>[12]教学成果奖(4分)</w:t>
            </w:r>
          </w:p>
        </w:tc>
        <w:tc>
          <w:tcPr>
            <w:tcW w:w="3116" w:type="dxa"/>
            <w:vAlign w:val="center"/>
          </w:tcPr>
          <w:p>
            <w:pPr>
              <w:spacing w:line="320" w:lineRule="exact"/>
              <w:jc w:val="left"/>
              <w:rPr>
                <w:rFonts w:ascii="宋体" w:hAnsi="宋体"/>
                <w:szCs w:val="21"/>
              </w:rPr>
            </w:pPr>
            <w:r>
              <w:rPr>
                <w:rFonts w:hint="eastAsia" w:ascii="宋体" w:hAnsi="宋体"/>
                <w:kern w:val="0"/>
                <w:szCs w:val="21"/>
              </w:rPr>
              <w:t>基准分为2.5分。</w:t>
            </w:r>
            <w:r>
              <w:rPr>
                <w:rFonts w:hint="eastAsia" w:ascii="宋体" w:hAnsi="宋体"/>
                <w:szCs w:val="21"/>
              </w:rPr>
              <w:t>近三年本专业教师首位获得教学成果奖国家级1.5分/项，省级一等奖1分/项、二等奖0.5分/项、三等奖0.3分/项，校级0.1分/项。</w:t>
            </w:r>
            <w:r>
              <w:rPr>
                <w:rFonts w:hint="eastAsia" w:ascii="宋体" w:hAnsi="宋体"/>
                <w:kern w:val="0"/>
                <w:szCs w:val="21"/>
              </w:rPr>
              <w:t>最高4分。</w:t>
            </w:r>
          </w:p>
        </w:tc>
        <w:tc>
          <w:tcPr>
            <w:tcW w:w="2079" w:type="dxa"/>
            <w:vAlign w:val="center"/>
          </w:tcPr>
          <w:p>
            <w:pPr>
              <w:spacing w:line="320" w:lineRule="exact"/>
              <w:jc w:val="left"/>
              <w:rPr>
                <w:rFonts w:ascii="宋体" w:hAnsi="宋体"/>
                <w:szCs w:val="21"/>
              </w:rPr>
            </w:pPr>
            <w:r>
              <w:rPr>
                <w:rFonts w:hint="eastAsia" w:ascii="宋体" w:hAnsi="宋体"/>
                <w:szCs w:val="21"/>
              </w:rPr>
              <w:t>同一成果按最高级别。</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vAlign w:val="center"/>
          </w:tcPr>
          <w:p>
            <w:pPr>
              <w:spacing w:line="320" w:lineRule="exact"/>
              <w:jc w:val="left"/>
              <w:rPr>
                <w:rFonts w:ascii="宋体" w:hAnsi="宋体"/>
                <w:szCs w:val="21"/>
              </w:rPr>
            </w:pPr>
            <w:r>
              <w:rPr>
                <w:rFonts w:hint="eastAsia" w:ascii="宋体" w:hAnsi="宋体"/>
                <w:szCs w:val="21"/>
              </w:rPr>
              <w:t>[13]教改论文(3分)</w:t>
            </w:r>
          </w:p>
        </w:tc>
        <w:tc>
          <w:tcPr>
            <w:tcW w:w="3116" w:type="dxa"/>
            <w:vAlign w:val="center"/>
          </w:tcPr>
          <w:p>
            <w:pPr>
              <w:spacing w:line="320" w:lineRule="exact"/>
              <w:jc w:val="left"/>
              <w:rPr>
                <w:rFonts w:ascii="宋体" w:hAnsi="宋体"/>
                <w:szCs w:val="21"/>
              </w:rPr>
            </w:pPr>
            <w:r>
              <w:rPr>
                <w:rFonts w:hint="eastAsia" w:ascii="宋体" w:hAnsi="宋体"/>
                <w:kern w:val="0"/>
                <w:szCs w:val="21"/>
              </w:rPr>
              <w:t>基准分为1.5分。</w:t>
            </w:r>
            <w:r>
              <w:rPr>
                <w:rFonts w:hint="eastAsia" w:ascii="宋体" w:hAnsi="宋体"/>
                <w:szCs w:val="21"/>
              </w:rPr>
              <w:t>近三年本专业教师首位发表核心期刊0.3分/篇，普通期刊0.1分/篇。</w:t>
            </w:r>
            <w:r>
              <w:rPr>
                <w:rFonts w:hint="eastAsia" w:ascii="宋体" w:hAnsi="宋体"/>
                <w:kern w:val="0"/>
                <w:szCs w:val="21"/>
              </w:rPr>
              <w:t>最高3分。</w:t>
            </w:r>
          </w:p>
        </w:tc>
        <w:tc>
          <w:tcPr>
            <w:tcW w:w="2079" w:type="dxa"/>
            <w:vAlign w:val="center"/>
          </w:tcPr>
          <w:p>
            <w:pPr>
              <w:spacing w:line="320" w:lineRule="exact"/>
              <w:jc w:val="left"/>
              <w:rPr>
                <w:rFonts w:ascii="宋体" w:hAnsi="宋体"/>
                <w:szCs w:val="21"/>
              </w:rPr>
            </w:pPr>
            <w:r>
              <w:rPr>
                <w:rFonts w:hint="eastAsia" w:ascii="宋体" w:hAnsi="宋体"/>
                <w:szCs w:val="21"/>
              </w:rPr>
              <w:t>与本专业相关的教学论文，与本专业教学无关的论文不予认定。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vAlign w:val="center"/>
          </w:tcPr>
          <w:p>
            <w:pPr>
              <w:keepNext/>
              <w:spacing w:line="280" w:lineRule="exact"/>
              <w:jc w:val="left"/>
              <w:outlineLvl w:val="0"/>
              <w:rPr>
                <w:rFonts w:ascii="宋体" w:hAnsi="宋体"/>
                <w:sz w:val="22"/>
              </w:rPr>
            </w:pPr>
            <w:r>
              <w:rPr>
                <w:rFonts w:hint="eastAsia" w:ascii="宋体" w:hAnsi="宋体"/>
                <w:sz w:val="22"/>
              </w:rPr>
              <w:t>[14]教材与讲义</w:t>
            </w:r>
            <w:r>
              <w:rPr>
                <w:rFonts w:hint="eastAsia" w:ascii="宋体" w:hAnsi="宋体"/>
                <w:szCs w:val="21"/>
              </w:rPr>
              <w:t>(3分)</w:t>
            </w:r>
          </w:p>
        </w:tc>
        <w:tc>
          <w:tcPr>
            <w:tcW w:w="3116" w:type="dxa"/>
            <w:vAlign w:val="center"/>
          </w:tcPr>
          <w:p>
            <w:pPr>
              <w:spacing w:line="320" w:lineRule="exact"/>
              <w:jc w:val="left"/>
              <w:rPr>
                <w:rFonts w:ascii="宋体" w:hAnsi="宋体"/>
                <w:szCs w:val="21"/>
              </w:rPr>
            </w:pPr>
            <w:r>
              <w:rPr>
                <w:rFonts w:hint="eastAsia" w:ascii="宋体" w:hAnsi="宋体"/>
                <w:kern w:val="0"/>
                <w:szCs w:val="21"/>
              </w:rPr>
              <w:t>基准分为1.5分。</w:t>
            </w:r>
            <w:r>
              <w:rPr>
                <w:rFonts w:hint="eastAsia" w:ascii="宋体" w:hAnsi="宋体"/>
                <w:szCs w:val="21"/>
              </w:rPr>
              <w:t>近三年本专业教师作为主编出版教材0.5分/门，副主编0.2分/门；投入使用的讲义0.2分/门。</w:t>
            </w:r>
            <w:r>
              <w:rPr>
                <w:rFonts w:hint="eastAsia" w:ascii="宋体" w:hAnsi="宋体"/>
                <w:kern w:val="0"/>
                <w:szCs w:val="21"/>
              </w:rPr>
              <w:t>最高3分。</w:t>
            </w:r>
          </w:p>
        </w:tc>
        <w:tc>
          <w:tcPr>
            <w:tcW w:w="2079" w:type="dxa"/>
            <w:vAlign w:val="center"/>
          </w:tcPr>
          <w:p>
            <w:pPr>
              <w:spacing w:line="320" w:lineRule="exact"/>
              <w:jc w:val="left"/>
              <w:rPr>
                <w:rFonts w:ascii="宋体" w:hAnsi="宋体"/>
                <w:szCs w:val="21"/>
              </w:rPr>
            </w:pPr>
            <w:r>
              <w:rPr>
                <w:rFonts w:hint="eastAsia" w:ascii="宋体" w:hAnsi="宋体"/>
                <w:szCs w:val="21"/>
              </w:rPr>
              <w:t>通过教务处印刷发放给学生使用的讲义，其他不予认定。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824"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教学条件</w:t>
            </w:r>
          </w:p>
          <w:p>
            <w:pPr>
              <w:spacing w:line="320" w:lineRule="exact"/>
              <w:jc w:val="center"/>
              <w:rPr>
                <w:rFonts w:ascii="宋体" w:hAnsi="宋体"/>
                <w:szCs w:val="21"/>
              </w:rPr>
            </w:pPr>
            <w:r>
              <w:rPr>
                <w:rFonts w:hint="eastAsia" w:ascii="宋体" w:hAnsi="宋体"/>
                <w:szCs w:val="21"/>
              </w:rPr>
              <w:t>(10分)</w:t>
            </w:r>
          </w:p>
        </w:tc>
        <w:tc>
          <w:tcPr>
            <w:tcW w:w="768"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3.1教学条件</w:t>
            </w:r>
          </w:p>
          <w:p>
            <w:pPr>
              <w:spacing w:line="320" w:lineRule="exact"/>
              <w:jc w:val="center"/>
              <w:rPr>
                <w:rFonts w:ascii="宋体" w:hAnsi="宋体"/>
                <w:szCs w:val="21"/>
              </w:rPr>
            </w:pPr>
            <w:r>
              <w:rPr>
                <w:rFonts w:hint="eastAsia" w:ascii="宋体" w:hAnsi="宋体"/>
                <w:szCs w:val="21"/>
              </w:rPr>
              <w:t>(10分)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[15]教学设施要求、信息资源要求与教学经费要求(10分)</w:t>
            </w:r>
          </w:p>
        </w:tc>
        <w:tc>
          <w:tcPr>
            <w:tcW w:w="311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基准分为10分。</w:t>
            </w:r>
            <w:r>
              <w:rPr>
                <w:rFonts w:hint="eastAsia" w:ascii="宋体" w:hAnsi="宋体"/>
                <w:szCs w:val="21"/>
              </w:rPr>
              <w:t>专业差异较大，国标中有具体数据要求的条件，有1项不达标减2分。全部达标10分。</w:t>
            </w:r>
          </w:p>
        </w:tc>
        <w:tc>
          <w:tcPr>
            <w:tcW w:w="20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Cs w:val="21"/>
              </w:rPr>
            </w:pPr>
            <w:r>
              <w:rPr>
                <w:rFonts w:hint="eastAsia" w:ascii="宋体" w:hAnsi="宋体"/>
                <w:szCs w:val="21"/>
              </w:rPr>
              <w:t>根据国家质量标准中有数据标准的条件逐项考核。非数据描述的教学条件在定性指标中考核。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24" w:type="dxa"/>
            <w:vMerge w:val="restart"/>
            <w:tcBorders>
              <w:top w:val="single" w:color="auto" w:sz="4" w:space="0"/>
            </w:tcBorders>
            <w:vAlign w:val="center"/>
          </w:tcPr>
          <w:p>
            <w:pPr>
              <w:spacing w:line="320" w:lineRule="exact"/>
              <w:jc w:val="center"/>
              <w:rPr>
                <w:rFonts w:ascii="宋体" w:hAnsi="宋体"/>
                <w:szCs w:val="21"/>
              </w:rPr>
            </w:pPr>
            <w:r>
              <w:rPr>
                <w:rFonts w:hint="eastAsia" w:ascii="宋体" w:hAnsi="宋体"/>
                <w:szCs w:val="21"/>
              </w:rPr>
              <w:t>4.学生发展</w:t>
            </w:r>
          </w:p>
          <w:p>
            <w:pPr>
              <w:spacing w:line="320" w:lineRule="exact"/>
              <w:jc w:val="center"/>
              <w:rPr>
                <w:rFonts w:ascii="宋体" w:hAnsi="宋体"/>
                <w:szCs w:val="21"/>
              </w:rPr>
            </w:pPr>
            <w:r>
              <w:rPr>
                <w:rFonts w:hint="eastAsia" w:ascii="宋体" w:hAnsi="宋体"/>
                <w:szCs w:val="21"/>
              </w:rPr>
              <w:t>(30分)</w:t>
            </w:r>
          </w:p>
        </w:tc>
        <w:tc>
          <w:tcPr>
            <w:tcW w:w="768" w:type="dxa"/>
            <w:vMerge w:val="restart"/>
            <w:tcBorders>
              <w:top w:val="single" w:color="auto" w:sz="4" w:space="0"/>
            </w:tcBorders>
            <w:vAlign w:val="center"/>
          </w:tcPr>
          <w:p>
            <w:pPr>
              <w:spacing w:line="320" w:lineRule="exact"/>
              <w:jc w:val="center"/>
              <w:rPr>
                <w:rFonts w:ascii="宋体" w:hAnsi="宋体"/>
                <w:szCs w:val="21"/>
              </w:rPr>
            </w:pPr>
            <w:r>
              <w:rPr>
                <w:rFonts w:hint="eastAsia" w:ascii="宋体" w:hAnsi="宋体"/>
                <w:szCs w:val="21"/>
              </w:rPr>
              <w:t>4.1生源质量</w:t>
            </w:r>
          </w:p>
          <w:p>
            <w:pPr>
              <w:spacing w:line="320" w:lineRule="exact"/>
              <w:jc w:val="center"/>
              <w:rPr>
                <w:rFonts w:ascii="宋体" w:hAnsi="宋体"/>
                <w:szCs w:val="21"/>
              </w:rPr>
            </w:pPr>
            <w:r>
              <w:rPr>
                <w:rFonts w:hint="eastAsia" w:ascii="宋体" w:hAnsi="宋体"/>
                <w:szCs w:val="21"/>
              </w:rPr>
              <w:t>(3分)</w:t>
            </w: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[16]第一志愿报考率(1.5分)</w:t>
            </w:r>
          </w:p>
        </w:tc>
        <w:tc>
          <w:tcPr>
            <w:tcW w:w="3116" w:type="dxa"/>
            <w:tcBorders>
              <w:top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基准分为1分。</w:t>
            </w:r>
            <w:r>
              <w:rPr>
                <w:rFonts w:hint="eastAsia" w:ascii="宋体" w:hAnsi="宋体"/>
                <w:szCs w:val="21"/>
              </w:rPr>
              <w:t>近两年第一志愿平均录取率基数为50%，每高于10个百分点加0.1分，每低于10个百分点减0.1分。</w:t>
            </w:r>
            <w:r>
              <w:rPr>
                <w:rFonts w:hint="eastAsia" w:ascii="宋体" w:hAnsi="宋体"/>
                <w:kern w:val="0"/>
                <w:szCs w:val="21"/>
              </w:rPr>
              <w:t>最高1.5分，最低0.5分。</w:t>
            </w:r>
          </w:p>
        </w:tc>
        <w:tc>
          <w:tcPr>
            <w:tcW w:w="2079" w:type="dxa"/>
            <w:tcBorders>
              <w:top w:val="single" w:color="auto" w:sz="4" w:space="0"/>
            </w:tcBorders>
            <w:vAlign w:val="center"/>
          </w:tcPr>
          <w:p>
            <w:pPr>
              <w:spacing w:line="320" w:lineRule="exact"/>
              <w:jc w:val="left"/>
              <w:rPr>
                <w:rFonts w:ascii="宋体" w:hAnsi="宋体"/>
                <w:szCs w:val="21"/>
              </w:rPr>
            </w:pPr>
            <w:r>
              <w:rPr>
                <w:rFonts w:hint="eastAsia" w:asciiTheme="minorHAnsi" w:hAnsiTheme="minorHAnsi" w:eastAsiaTheme="minorEastAsia" w:cstheme="minorBidi"/>
                <w:szCs w:val="21"/>
              </w:rPr>
              <w:t>[18] [19]只采用山东生源和山东省内录取分作为考核指标的参考数据。</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24" w:type="dxa"/>
            <w:vMerge w:val="continue"/>
            <w:tcBorders>
              <w:top w:val="single" w:color="auto" w:sz="4" w:space="0"/>
            </w:tcBorders>
            <w:vAlign w:val="center"/>
          </w:tcPr>
          <w:p>
            <w:pPr>
              <w:spacing w:line="320" w:lineRule="exact"/>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[17]录取分数线(1.5分)</w:t>
            </w:r>
          </w:p>
        </w:tc>
        <w:tc>
          <w:tcPr>
            <w:tcW w:w="3116" w:type="dxa"/>
            <w:tcBorders>
              <w:top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基准分为1分。</w:t>
            </w:r>
            <w:r>
              <w:rPr>
                <w:rFonts w:hint="eastAsia" w:ascii="宋体" w:hAnsi="宋体"/>
                <w:szCs w:val="21"/>
              </w:rPr>
              <w:t>超过学校该科类（文科、理科）平均录取分数线加0.02分/1分，低于平均录取分数线减0.02分/1分。</w:t>
            </w:r>
            <w:r>
              <w:rPr>
                <w:rFonts w:hint="eastAsia" w:ascii="宋体" w:hAnsi="宋体"/>
                <w:kern w:val="0"/>
                <w:szCs w:val="21"/>
              </w:rPr>
              <w:t>最高1.5分，最低0.5分。</w:t>
            </w:r>
          </w:p>
        </w:tc>
        <w:tc>
          <w:tcPr>
            <w:tcW w:w="2079"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音体美参照全省平均专业录取分数线执行。</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restart"/>
            <w:vAlign w:val="center"/>
          </w:tcPr>
          <w:p>
            <w:pPr>
              <w:spacing w:line="320" w:lineRule="exact"/>
              <w:jc w:val="center"/>
              <w:rPr>
                <w:rFonts w:ascii="宋体" w:hAnsi="宋体"/>
                <w:szCs w:val="21"/>
              </w:rPr>
            </w:pPr>
            <w:r>
              <w:rPr>
                <w:rFonts w:hint="eastAsia" w:ascii="宋体" w:hAnsi="宋体"/>
                <w:szCs w:val="21"/>
              </w:rPr>
              <w:t>4.2毕业与就业情况</w:t>
            </w:r>
          </w:p>
          <w:p>
            <w:pPr>
              <w:spacing w:line="320" w:lineRule="exact"/>
              <w:jc w:val="center"/>
              <w:rPr>
                <w:rFonts w:ascii="宋体" w:hAnsi="宋体"/>
                <w:szCs w:val="21"/>
              </w:rPr>
            </w:pPr>
            <w:r>
              <w:rPr>
                <w:rFonts w:hint="eastAsia" w:ascii="宋体" w:hAnsi="宋体"/>
                <w:szCs w:val="21"/>
              </w:rPr>
              <w:t>(12分)</w:t>
            </w: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[18]近三届</w:t>
            </w:r>
            <w:r>
              <w:rPr>
                <w:rFonts w:ascii="宋体" w:hAnsi="宋体"/>
                <w:szCs w:val="21"/>
              </w:rPr>
              <w:t>本科生</w:t>
            </w:r>
            <w:r>
              <w:rPr>
                <w:rFonts w:hint="eastAsia" w:ascii="宋体" w:hAnsi="宋体"/>
                <w:szCs w:val="21"/>
              </w:rPr>
              <w:t>首次</w:t>
            </w:r>
            <w:r>
              <w:rPr>
                <w:rFonts w:ascii="宋体" w:hAnsi="宋体"/>
                <w:szCs w:val="21"/>
              </w:rPr>
              <w:t>毕业率</w:t>
            </w:r>
            <w:r>
              <w:rPr>
                <w:rFonts w:hint="eastAsia" w:ascii="宋体" w:hAnsi="宋体"/>
                <w:szCs w:val="21"/>
              </w:rPr>
              <w:t>(3分)</w:t>
            </w:r>
          </w:p>
        </w:tc>
        <w:tc>
          <w:tcPr>
            <w:tcW w:w="3116" w:type="dxa"/>
            <w:tcBorders>
              <w:top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基准分为2分。</w:t>
            </w:r>
            <w:r>
              <w:rPr>
                <w:rFonts w:hint="eastAsia" w:ascii="宋体" w:hAnsi="宋体"/>
                <w:szCs w:val="21"/>
              </w:rPr>
              <w:t>基数为95%，每高于2个百分点加0.2分,每降低3个百分点，减0.2分。</w:t>
            </w:r>
            <w:r>
              <w:rPr>
                <w:rFonts w:hint="eastAsia" w:ascii="宋体" w:hAnsi="宋体"/>
                <w:kern w:val="0"/>
                <w:szCs w:val="21"/>
              </w:rPr>
              <w:t>最高3分，最低0.5分。</w:t>
            </w:r>
          </w:p>
        </w:tc>
        <w:tc>
          <w:tcPr>
            <w:tcW w:w="2079" w:type="dxa"/>
            <w:vMerge w:val="restart"/>
            <w:tcBorders>
              <w:top w:val="single" w:color="auto" w:sz="4" w:space="0"/>
            </w:tcBorders>
            <w:vAlign w:val="center"/>
          </w:tcPr>
          <w:p>
            <w:pPr>
              <w:spacing w:line="320" w:lineRule="exact"/>
              <w:jc w:val="center"/>
              <w:rPr>
                <w:rFonts w:ascii="宋体" w:hAnsi="宋体"/>
                <w:szCs w:val="21"/>
              </w:rPr>
            </w:pPr>
            <w:r>
              <w:rPr>
                <w:rFonts w:hint="eastAsia" w:ascii="宋体" w:hAnsi="宋体"/>
                <w:szCs w:val="21"/>
              </w:rPr>
              <w:t>教务处提供。</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[19]近三届</w:t>
            </w:r>
            <w:r>
              <w:rPr>
                <w:rFonts w:ascii="宋体" w:hAnsi="宋体"/>
                <w:szCs w:val="21"/>
              </w:rPr>
              <w:t>本科生</w:t>
            </w:r>
            <w:r>
              <w:rPr>
                <w:rFonts w:hint="eastAsia" w:ascii="宋体" w:hAnsi="宋体"/>
                <w:szCs w:val="21"/>
              </w:rPr>
              <w:t>首次</w:t>
            </w:r>
            <w:r>
              <w:rPr>
                <w:rFonts w:ascii="宋体" w:hAnsi="宋体"/>
                <w:szCs w:val="21"/>
              </w:rPr>
              <w:t>学位授予率</w:t>
            </w:r>
            <w:r>
              <w:rPr>
                <w:rFonts w:hint="eastAsia" w:ascii="宋体" w:hAnsi="宋体"/>
                <w:szCs w:val="21"/>
              </w:rPr>
              <w:t>(3分)</w:t>
            </w:r>
          </w:p>
        </w:tc>
        <w:tc>
          <w:tcPr>
            <w:tcW w:w="3116" w:type="dxa"/>
            <w:tcBorders>
              <w:top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基准分为2分。</w:t>
            </w:r>
            <w:r>
              <w:rPr>
                <w:rFonts w:hint="eastAsia" w:ascii="宋体" w:hAnsi="宋体"/>
                <w:szCs w:val="21"/>
              </w:rPr>
              <w:t>基数为90%，每高于2个百分点加0.2分,每降低3个百分点，减0.2分。</w:t>
            </w:r>
            <w:r>
              <w:rPr>
                <w:rFonts w:hint="eastAsia" w:ascii="宋体" w:hAnsi="宋体"/>
                <w:kern w:val="0"/>
                <w:szCs w:val="21"/>
              </w:rPr>
              <w:t>最高3分，最低0.5分。</w:t>
            </w:r>
          </w:p>
        </w:tc>
        <w:tc>
          <w:tcPr>
            <w:tcW w:w="2079"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kern w:val="0"/>
                <w:szCs w:val="21"/>
              </w:rPr>
              <w:t>[20]</w:t>
            </w:r>
            <w:r>
              <w:rPr>
                <w:rFonts w:hint="eastAsia" w:ascii="宋体" w:hAnsi="宋体"/>
                <w:szCs w:val="21"/>
              </w:rPr>
              <w:t xml:space="preserve"> 就业质量（3分)</w:t>
            </w:r>
          </w:p>
        </w:tc>
        <w:tc>
          <w:tcPr>
            <w:tcW w:w="3116"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基准分为2分。年度就业质量得分=2+核心就业质量人数/当年学院毕业生数，取近三年就业质量得分平均值。最高3分。</w:t>
            </w:r>
          </w:p>
        </w:tc>
        <w:tc>
          <w:tcPr>
            <w:tcW w:w="2079" w:type="dxa"/>
            <w:vMerge w:val="restart"/>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招生就业处提供。</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kern w:val="0"/>
                <w:szCs w:val="21"/>
              </w:rPr>
            </w:pP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[21]近三届本科生就业率(3分)</w:t>
            </w:r>
          </w:p>
        </w:tc>
        <w:tc>
          <w:tcPr>
            <w:tcW w:w="3116" w:type="dxa"/>
            <w:tcBorders>
              <w:top w:val="single" w:color="auto" w:sz="4" w:space="0"/>
            </w:tcBorders>
            <w:vAlign w:val="center"/>
          </w:tcPr>
          <w:p>
            <w:pPr>
              <w:spacing w:line="320" w:lineRule="exact"/>
              <w:jc w:val="left"/>
              <w:rPr>
                <w:rFonts w:ascii="宋体" w:hAnsi="宋体"/>
                <w:szCs w:val="21"/>
              </w:rPr>
            </w:pPr>
            <w:r>
              <w:rPr>
                <w:rFonts w:hint="eastAsia" w:ascii="宋体" w:hAnsi="宋体"/>
                <w:kern w:val="0"/>
                <w:szCs w:val="21"/>
              </w:rPr>
              <w:t>基准分为2分。</w:t>
            </w:r>
            <w:r>
              <w:rPr>
                <w:rFonts w:hint="eastAsia" w:ascii="宋体" w:hAnsi="宋体"/>
                <w:szCs w:val="21"/>
              </w:rPr>
              <w:t>近三年应届毕业生的年底就业率基数为90%，每高于1个百分点加0.1分，每低于1个百分点减0.1分。</w:t>
            </w:r>
            <w:r>
              <w:rPr>
                <w:rFonts w:hint="eastAsia" w:ascii="宋体" w:hAnsi="宋体"/>
                <w:kern w:val="0"/>
                <w:szCs w:val="21"/>
              </w:rPr>
              <w:t>最高3分。</w:t>
            </w:r>
          </w:p>
        </w:tc>
        <w:tc>
          <w:tcPr>
            <w:tcW w:w="2079" w:type="dxa"/>
            <w:vMerge w:val="continue"/>
            <w:vAlign w:val="center"/>
          </w:tcPr>
          <w:p>
            <w:pPr>
              <w:spacing w:line="320" w:lineRule="exact"/>
              <w:jc w:val="left"/>
              <w:rPr>
                <w:rFonts w:ascii="宋体" w:hAnsi="宋体"/>
                <w:w w:val="90"/>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restart"/>
            <w:vAlign w:val="center"/>
          </w:tcPr>
          <w:p>
            <w:pPr>
              <w:spacing w:line="320" w:lineRule="exact"/>
              <w:jc w:val="center"/>
              <w:rPr>
                <w:rFonts w:ascii="宋体" w:hAnsi="宋体"/>
                <w:szCs w:val="21"/>
              </w:rPr>
            </w:pPr>
            <w:r>
              <w:rPr>
                <w:rFonts w:hint="eastAsia" w:ascii="宋体" w:hAnsi="宋体"/>
                <w:szCs w:val="21"/>
              </w:rPr>
              <w:t>4.3</w:t>
            </w:r>
          </w:p>
          <w:p>
            <w:pPr>
              <w:spacing w:line="320" w:lineRule="exact"/>
              <w:jc w:val="center"/>
              <w:rPr>
                <w:rFonts w:ascii="宋体" w:hAnsi="宋体"/>
                <w:szCs w:val="21"/>
              </w:rPr>
            </w:pPr>
            <w:r>
              <w:rPr>
                <w:rFonts w:hint="eastAsia" w:ascii="宋体" w:hAnsi="宋体"/>
                <w:szCs w:val="21"/>
              </w:rPr>
              <w:t>身心</w:t>
            </w:r>
          </w:p>
          <w:p>
            <w:pPr>
              <w:spacing w:line="320" w:lineRule="exact"/>
              <w:jc w:val="center"/>
              <w:rPr>
                <w:rFonts w:ascii="宋体" w:hAnsi="宋体"/>
                <w:szCs w:val="21"/>
              </w:rPr>
            </w:pPr>
            <w:r>
              <w:rPr>
                <w:rFonts w:hint="eastAsia" w:ascii="宋体" w:hAnsi="宋体"/>
                <w:szCs w:val="21"/>
              </w:rPr>
              <w:t>与</w:t>
            </w:r>
          </w:p>
          <w:p>
            <w:pPr>
              <w:spacing w:line="320" w:lineRule="exact"/>
              <w:jc w:val="center"/>
              <w:rPr>
                <w:rFonts w:ascii="宋体" w:hAnsi="宋体"/>
                <w:szCs w:val="21"/>
              </w:rPr>
            </w:pPr>
            <w:r>
              <w:rPr>
                <w:rFonts w:hint="eastAsia" w:ascii="宋体" w:hAnsi="宋体"/>
                <w:szCs w:val="21"/>
              </w:rPr>
              <w:t>文化</w:t>
            </w:r>
          </w:p>
          <w:p>
            <w:pPr>
              <w:spacing w:line="320" w:lineRule="exact"/>
              <w:jc w:val="center"/>
              <w:rPr>
                <w:rFonts w:ascii="宋体" w:hAnsi="宋体"/>
                <w:szCs w:val="21"/>
              </w:rPr>
            </w:pPr>
            <w:r>
              <w:rPr>
                <w:rFonts w:hint="eastAsia" w:ascii="宋体" w:hAnsi="宋体"/>
                <w:szCs w:val="21"/>
              </w:rPr>
              <w:t>(5分)</w:t>
            </w: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[22]健康标准合格率(1分)</w:t>
            </w:r>
          </w:p>
        </w:tc>
        <w:tc>
          <w:tcPr>
            <w:tcW w:w="3116" w:type="dxa"/>
            <w:tcBorders>
              <w:top w:val="single" w:color="auto" w:sz="4" w:space="0"/>
            </w:tcBorders>
            <w:vAlign w:val="center"/>
          </w:tcPr>
          <w:p>
            <w:pPr>
              <w:spacing w:line="320" w:lineRule="exact"/>
              <w:jc w:val="left"/>
              <w:rPr>
                <w:rFonts w:ascii="宋体" w:hAnsi="宋体"/>
                <w:kern w:val="0"/>
                <w:szCs w:val="21"/>
              </w:rPr>
            </w:pPr>
            <w:r>
              <w:rPr>
                <w:rFonts w:hint="eastAsia" w:ascii="宋体" w:hAnsi="宋体"/>
                <w:szCs w:val="21"/>
              </w:rPr>
              <w:t>基准分为1分。学生健康标准合格率基数为85%，近三年本专业学生健康标准合格率平均值85%以上得满分1分，每降低3个百分点减0.1分。最低0.5分。</w:t>
            </w:r>
          </w:p>
        </w:tc>
        <w:tc>
          <w:tcPr>
            <w:tcW w:w="2079"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体育学院提供。</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[23]第二课堂成绩单实施情况(4分)</w:t>
            </w:r>
          </w:p>
        </w:tc>
        <w:tc>
          <w:tcPr>
            <w:tcW w:w="3116" w:type="dxa"/>
            <w:tcBorders>
              <w:top w:val="single" w:color="auto" w:sz="4" w:space="0"/>
            </w:tcBorders>
            <w:vAlign w:val="center"/>
          </w:tcPr>
          <w:p>
            <w:pPr>
              <w:spacing w:line="320" w:lineRule="exact"/>
              <w:jc w:val="left"/>
              <w:rPr>
                <w:rFonts w:ascii="宋体" w:hAnsi="宋体"/>
                <w:kern w:val="0"/>
                <w:szCs w:val="21"/>
              </w:rPr>
            </w:pPr>
            <w:r>
              <w:rPr>
                <w:rFonts w:hint="eastAsia" w:ascii="宋体" w:hAnsi="宋体"/>
                <w:kern w:val="0"/>
                <w:szCs w:val="21"/>
              </w:rPr>
              <w:t>年度专业学生人均第二课堂学分获得量3分及以上得2分；2分及以上，不满</w:t>
            </w:r>
            <w:r>
              <w:rPr>
                <w:rFonts w:ascii="宋体" w:hAnsi="宋体"/>
                <w:kern w:val="0"/>
                <w:szCs w:val="21"/>
              </w:rPr>
              <w:t>3</w:t>
            </w:r>
            <w:r>
              <w:rPr>
                <w:rFonts w:hint="eastAsia" w:ascii="宋体" w:hAnsi="宋体"/>
                <w:kern w:val="0"/>
                <w:szCs w:val="21"/>
              </w:rPr>
              <w:t>分得1.4分；2分以下得1分。</w:t>
            </w:r>
          </w:p>
          <w:p>
            <w:pPr>
              <w:spacing w:line="320" w:lineRule="exact"/>
              <w:jc w:val="left"/>
              <w:rPr>
                <w:rFonts w:ascii="宋体" w:hAnsi="宋体"/>
                <w:kern w:val="0"/>
                <w:szCs w:val="21"/>
              </w:rPr>
            </w:pPr>
            <w:r>
              <w:rPr>
                <w:rFonts w:hint="eastAsia" w:ascii="宋体" w:hAnsi="宋体"/>
                <w:kern w:val="0"/>
                <w:szCs w:val="21"/>
              </w:rPr>
              <w:t>学院第二课堂成绩单活动项目年均签到率8</w:t>
            </w:r>
            <w:r>
              <w:rPr>
                <w:rFonts w:ascii="宋体" w:hAnsi="宋体"/>
                <w:kern w:val="0"/>
                <w:szCs w:val="21"/>
              </w:rPr>
              <w:t>0</w:t>
            </w:r>
            <w:r>
              <w:rPr>
                <w:rFonts w:hint="eastAsia" w:ascii="宋体" w:hAnsi="宋体"/>
                <w:kern w:val="0"/>
                <w:szCs w:val="21"/>
              </w:rPr>
              <w:t>%及以上得2分；6</w:t>
            </w:r>
            <w:r>
              <w:rPr>
                <w:rFonts w:ascii="宋体" w:hAnsi="宋体"/>
                <w:kern w:val="0"/>
                <w:szCs w:val="21"/>
              </w:rPr>
              <w:t>0</w:t>
            </w:r>
            <w:r>
              <w:rPr>
                <w:rFonts w:hint="eastAsia" w:ascii="宋体" w:hAnsi="宋体"/>
                <w:kern w:val="0"/>
                <w:szCs w:val="21"/>
              </w:rPr>
              <w:t>%及以上，不满</w:t>
            </w:r>
            <w:r>
              <w:rPr>
                <w:rFonts w:ascii="宋体" w:hAnsi="宋体"/>
                <w:kern w:val="0"/>
                <w:szCs w:val="21"/>
              </w:rPr>
              <w:t>80</w:t>
            </w:r>
            <w:r>
              <w:rPr>
                <w:rFonts w:hint="eastAsia" w:ascii="宋体" w:hAnsi="宋体"/>
                <w:kern w:val="0"/>
                <w:szCs w:val="21"/>
              </w:rPr>
              <w:t>%得1.4分；6</w:t>
            </w:r>
            <w:r>
              <w:rPr>
                <w:rFonts w:ascii="宋体" w:hAnsi="宋体"/>
                <w:kern w:val="0"/>
                <w:szCs w:val="21"/>
              </w:rPr>
              <w:t>0</w:t>
            </w:r>
            <w:r>
              <w:rPr>
                <w:rFonts w:hint="eastAsia" w:ascii="宋体" w:hAnsi="宋体"/>
                <w:kern w:val="0"/>
                <w:szCs w:val="21"/>
              </w:rPr>
              <w:t>%以下得1分。</w:t>
            </w:r>
          </w:p>
          <w:p>
            <w:pPr>
              <w:spacing w:line="320" w:lineRule="exact"/>
              <w:jc w:val="left"/>
              <w:rPr>
                <w:rFonts w:ascii="宋体" w:hAnsi="宋体"/>
                <w:kern w:val="0"/>
                <w:szCs w:val="21"/>
              </w:rPr>
            </w:pPr>
            <w:r>
              <w:rPr>
                <w:rFonts w:hint="eastAsia" w:ascii="宋体" w:hAnsi="宋体"/>
                <w:kern w:val="0"/>
                <w:szCs w:val="21"/>
              </w:rPr>
              <w:t>最高分4分，最低分2分。</w:t>
            </w:r>
          </w:p>
        </w:tc>
        <w:tc>
          <w:tcPr>
            <w:tcW w:w="2079" w:type="dxa"/>
            <w:tcBorders>
              <w:top w:val="single" w:color="auto" w:sz="4" w:space="0"/>
            </w:tcBorders>
            <w:vAlign w:val="center"/>
          </w:tcPr>
          <w:p>
            <w:pPr>
              <w:spacing w:line="320" w:lineRule="exact"/>
              <w:jc w:val="left"/>
              <w:rPr>
                <w:rFonts w:ascii="宋体" w:hAnsi="宋体"/>
                <w:kern w:val="0"/>
                <w:szCs w:val="21"/>
              </w:rPr>
            </w:pPr>
            <w:r>
              <w:rPr>
                <w:rFonts w:hint="eastAsia" w:ascii="宋体" w:hAnsi="宋体"/>
                <w:szCs w:val="21"/>
              </w:rPr>
              <w:t>年度</w:t>
            </w:r>
            <w:r>
              <w:rPr>
                <w:rFonts w:hint="eastAsia" w:ascii="宋体" w:hAnsi="宋体"/>
                <w:kern w:val="0"/>
                <w:szCs w:val="21"/>
              </w:rPr>
              <w:t>专业学生人均第二课堂学分获得量计算依据“到梦空间”记录数据，以专业学生年度获得学分总量除以第二课堂成绩单覆盖专业总人数为结果。</w:t>
            </w:r>
          </w:p>
          <w:p>
            <w:pPr>
              <w:spacing w:line="320" w:lineRule="exact"/>
              <w:jc w:val="left"/>
              <w:rPr>
                <w:rFonts w:ascii="宋体" w:hAnsi="宋体"/>
                <w:szCs w:val="21"/>
              </w:rPr>
            </w:pPr>
            <w:r>
              <w:rPr>
                <w:rFonts w:hint="eastAsia" w:ascii="宋体" w:hAnsi="宋体"/>
                <w:kern w:val="0"/>
                <w:szCs w:val="21"/>
              </w:rPr>
              <w:t>学院第二课堂成绩单活动项目年均签到率计算依据“到梦空间”记录数据，以学院各项活动签到率的平均值为结果。</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restart"/>
            <w:vAlign w:val="center"/>
          </w:tcPr>
          <w:p>
            <w:pPr>
              <w:widowControl/>
              <w:spacing w:line="320" w:lineRule="exact"/>
              <w:jc w:val="center"/>
              <w:rPr>
                <w:rFonts w:ascii="宋体" w:hAnsi="宋体" w:cs="宋体"/>
                <w:kern w:val="0"/>
                <w:szCs w:val="21"/>
              </w:rPr>
            </w:pPr>
            <w:r>
              <w:rPr>
                <w:rFonts w:hint="eastAsia" w:ascii="宋体" w:hAnsi="宋体" w:cs="宋体"/>
                <w:kern w:val="0"/>
                <w:szCs w:val="21"/>
              </w:rPr>
              <w:t>4.4创新能力</w:t>
            </w:r>
          </w:p>
          <w:p>
            <w:pPr>
              <w:widowControl/>
              <w:spacing w:line="320" w:lineRule="exact"/>
              <w:jc w:val="center"/>
              <w:rPr>
                <w:rFonts w:ascii="宋体" w:hAnsi="宋体" w:cs="宋体"/>
                <w:kern w:val="0"/>
                <w:szCs w:val="21"/>
              </w:rPr>
            </w:pPr>
            <w:r>
              <w:rPr>
                <w:rFonts w:hint="eastAsia" w:ascii="宋体" w:hAnsi="宋体"/>
                <w:szCs w:val="21"/>
              </w:rPr>
              <w:t>(10分)</w:t>
            </w:r>
          </w:p>
        </w:tc>
        <w:tc>
          <w:tcPr>
            <w:tcW w:w="1703" w:type="dxa"/>
            <w:tcBorders>
              <w:top w:val="single" w:color="auto" w:sz="4" w:space="0"/>
            </w:tcBorders>
            <w:vAlign w:val="center"/>
          </w:tcPr>
          <w:p>
            <w:pPr>
              <w:widowControl/>
              <w:spacing w:line="320" w:lineRule="exact"/>
              <w:jc w:val="left"/>
              <w:rPr>
                <w:rFonts w:ascii="宋体" w:hAnsi="宋体" w:cs="宋体"/>
                <w:kern w:val="0"/>
                <w:szCs w:val="21"/>
              </w:rPr>
            </w:pPr>
            <w:r>
              <w:rPr>
                <w:rFonts w:hint="eastAsia" w:ascii="宋体" w:hAnsi="宋体" w:cs="宋体"/>
                <w:kern w:val="0"/>
                <w:szCs w:val="21"/>
              </w:rPr>
              <w:t>[24]学生公开发表论文和专利情况</w:t>
            </w:r>
            <w:r>
              <w:rPr>
                <w:rFonts w:hint="eastAsia" w:ascii="宋体" w:hAnsi="宋体"/>
                <w:szCs w:val="21"/>
              </w:rPr>
              <w:t>(5分)</w:t>
            </w:r>
          </w:p>
        </w:tc>
        <w:tc>
          <w:tcPr>
            <w:tcW w:w="3116" w:type="dxa"/>
            <w:tcBorders>
              <w:top w:val="single" w:color="auto" w:sz="4" w:space="0"/>
            </w:tcBorders>
            <w:vAlign w:val="center"/>
          </w:tcPr>
          <w:p>
            <w:pPr>
              <w:widowControl/>
              <w:spacing w:line="320" w:lineRule="exact"/>
              <w:jc w:val="left"/>
              <w:rPr>
                <w:rFonts w:ascii="宋体" w:hAnsi="宋体" w:cs="宋体"/>
                <w:kern w:val="0"/>
                <w:szCs w:val="21"/>
              </w:rPr>
            </w:pPr>
            <w:r>
              <w:rPr>
                <w:rFonts w:hint="eastAsia" w:ascii="宋体" w:hAnsi="宋体"/>
                <w:kern w:val="0"/>
                <w:szCs w:val="21"/>
              </w:rPr>
              <w:t>基准分为2.5分。</w:t>
            </w:r>
            <w:r>
              <w:rPr>
                <w:rFonts w:hint="eastAsia" w:ascii="宋体" w:hAnsi="宋体" w:cs="宋体"/>
                <w:kern w:val="0"/>
                <w:szCs w:val="21"/>
              </w:rPr>
              <w:t>近三年学生第一作者公开发表核心期刊论文或者发明专利加0.2分/篇（项），非核心期刊论文或实用新型专利0.1分/篇（项）。</w:t>
            </w:r>
            <w:r>
              <w:rPr>
                <w:rFonts w:hint="eastAsia" w:ascii="宋体" w:hAnsi="宋体"/>
                <w:kern w:val="0"/>
                <w:szCs w:val="21"/>
              </w:rPr>
              <w:t>最高5分。</w:t>
            </w:r>
          </w:p>
        </w:tc>
        <w:tc>
          <w:tcPr>
            <w:tcW w:w="2079" w:type="dxa"/>
            <w:tcBorders>
              <w:top w:val="single" w:color="auto" w:sz="4" w:space="0"/>
            </w:tcBorders>
            <w:vAlign w:val="center"/>
          </w:tcPr>
          <w:p>
            <w:pPr>
              <w:widowControl/>
              <w:spacing w:line="320" w:lineRule="exact"/>
              <w:jc w:val="left"/>
              <w:rPr>
                <w:rFonts w:ascii="宋体" w:hAnsi="宋体" w:cs="宋体"/>
                <w:kern w:val="0"/>
                <w:szCs w:val="21"/>
              </w:rPr>
            </w:pPr>
            <w:r>
              <w:rPr>
                <w:rFonts w:hint="eastAsia" w:ascii="宋体" w:hAnsi="宋体" w:cs="宋体"/>
                <w:kern w:val="0"/>
                <w:szCs w:val="21"/>
              </w:rPr>
              <w:t>由学院提供。</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824" w:type="dxa"/>
            <w:vMerge w:val="continue"/>
            <w:vAlign w:val="center"/>
          </w:tcPr>
          <w:p>
            <w:pPr>
              <w:spacing w:line="320" w:lineRule="exact"/>
              <w:ind w:firstLine="480"/>
              <w:jc w:val="center"/>
              <w:rPr>
                <w:rFonts w:ascii="宋体" w:hAnsi="宋体"/>
                <w:szCs w:val="21"/>
              </w:rPr>
            </w:pPr>
          </w:p>
        </w:tc>
        <w:tc>
          <w:tcPr>
            <w:tcW w:w="768" w:type="dxa"/>
            <w:vMerge w:val="continue"/>
            <w:vAlign w:val="center"/>
          </w:tcPr>
          <w:p>
            <w:pPr>
              <w:spacing w:line="320" w:lineRule="exact"/>
              <w:jc w:val="center"/>
              <w:rPr>
                <w:rFonts w:ascii="宋体" w:hAnsi="宋体"/>
                <w:szCs w:val="21"/>
              </w:rPr>
            </w:pPr>
          </w:p>
        </w:tc>
        <w:tc>
          <w:tcPr>
            <w:tcW w:w="1703" w:type="dxa"/>
            <w:tcBorders>
              <w:top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[25]参加科技技能竞赛活动情况</w:t>
            </w:r>
            <w:r>
              <w:rPr>
                <w:rFonts w:hint="eastAsia" w:ascii="宋体" w:hAnsi="宋体"/>
                <w:szCs w:val="21"/>
              </w:rPr>
              <w:t>(5分)</w:t>
            </w:r>
          </w:p>
        </w:tc>
        <w:tc>
          <w:tcPr>
            <w:tcW w:w="3116" w:type="dxa"/>
            <w:tcBorders>
              <w:top w:val="single" w:color="auto" w:sz="4" w:space="0"/>
            </w:tcBorders>
            <w:vAlign w:val="center"/>
          </w:tcPr>
          <w:p>
            <w:pPr>
              <w:widowControl/>
              <w:spacing w:line="320" w:lineRule="exact"/>
              <w:jc w:val="left"/>
              <w:rPr>
                <w:rFonts w:ascii="宋体" w:hAnsi="宋体" w:cs="宋体"/>
                <w:kern w:val="0"/>
                <w:szCs w:val="21"/>
              </w:rPr>
            </w:pPr>
            <w:r>
              <w:rPr>
                <w:rFonts w:hint="eastAsia" w:ascii="宋体" w:hAnsi="宋体"/>
                <w:kern w:val="0"/>
                <w:szCs w:val="21"/>
              </w:rPr>
              <w:t>基准分为2.5分。</w:t>
            </w:r>
            <w:r>
              <w:rPr>
                <w:rFonts w:hint="eastAsia" w:ascii="宋体" w:hAnsi="宋体" w:cs="宋体"/>
                <w:kern w:val="0"/>
                <w:szCs w:val="21"/>
              </w:rPr>
              <w:t>当年获省部级及以上竞赛获奖学生比例与上一年相比每提高5个百分点加1分；最高5分</w:t>
            </w:r>
          </w:p>
        </w:tc>
        <w:tc>
          <w:tcPr>
            <w:tcW w:w="2079"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获奖学生为证书中额定人员。当年获奖学生比例=当年获奖学生数/当年本专业学生总人数；</w:t>
            </w:r>
          </w:p>
        </w:tc>
      </w:tr>
    </w:tbl>
    <w:p>
      <w:pPr>
        <w:spacing w:line="300" w:lineRule="auto"/>
        <w:rPr>
          <w:rFonts w:ascii="楷体_GB2312" w:hAnsi="宋体" w:eastAsia="楷体_GB2312"/>
          <w:sz w:val="24"/>
          <w:szCs w:val="24"/>
        </w:rPr>
      </w:pPr>
      <w:r>
        <w:rPr>
          <w:rFonts w:hint="eastAsia" w:ascii="楷体_GB2312" w:hAnsi="宋体" w:eastAsia="楷体_GB2312"/>
          <w:sz w:val="24"/>
          <w:szCs w:val="24"/>
        </w:rPr>
        <w:t>注：评估指标体系中涉及教师的观测点，均指本专业专任教师名单中所有教师，同一学院教师只能归属一个专业。</w:t>
      </w:r>
    </w:p>
    <w:p>
      <w:pPr>
        <w:widowControl/>
        <w:jc w:val="left"/>
        <w:rPr>
          <w:rFonts w:ascii="楷体_GB2312" w:hAnsi="宋体" w:eastAsia="楷体_GB2312"/>
          <w:sz w:val="24"/>
          <w:szCs w:val="24"/>
        </w:rPr>
      </w:pPr>
      <w:r>
        <w:rPr>
          <w:rFonts w:ascii="楷体_GB2312" w:hAnsi="宋体" w:eastAsia="楷体_GB2312"/>
          <w:sz w:val="24"/>
          <w:szCs w:val="24"/>
        </w:rPr>
        <w:br w:type="page"/>
      </w:r>
    </w:p>
    <w:p>
      <w:pPr>
        <w:spacing w:line="300" w:lineRule="auto"/>
        <w:rPr>
          <w:rFonts w:ascii="宋体" w:hAnsi="宋体"/>
          <w:b/>
          <w:sz w:val="28"/>
          <w:szCs w:val="28"/>
        </w:rPr>
      </w:pPr>
      <w:r>
        <w:rPr>
          <w:rFonts w:hint="eastAsia" w:ascii="宋体" w:hAnsi="宋体"/>
          <w:b/>
          <w:sz w:val="28"/>
          <w:szCs w:val="28"/>
        </w:rPr>
        <w:t xml:space="preserve">附件2  </w:t>
      </w:r>
    </w:p>
    <w:p>
      <w:pPr>
        <w:spacing w:line="300" w:lineRule="auto"/>
        <w:jc w:val="center"/>
        <w:rPr>
          <w:rFonts w:ascii="宋体" w:hAnsi="宋体"/>
          <w:b/>
          <w:sz w:val="32"/>
          <w:szCs w:val="32"/>
        </w:rPr>
      </w:pPr>
      <w:r>
        <w:rPr>
          <w:rFonts w:hint="eastAsia" w:ascii="宋体" w:hAnsi="宋体"/>
          <w:b/>
          <w:sz w:val="32"/>
          <w:szCs w:val="32"/>
        </w:rPr>
        <w:t>山东理工大学本科专业评估定性指标体系</w:t>
      </w:r>
    </w:p>
    <w:p>
      <w:pPr>
        <w:adjustRightInd w:val="0"/>
        <w:spacing w:line="520" w:lineRule="exact"/>
        <w:ind w:firstLine="560" w:firstLineChars="200"/>
        <w:rPr>
          <w:rFonts w:ascii="宋体" w:hAnsi="宋体"/>
          <w:sz w:val="28"/>
          <w:szCs w:val="28"/>
        </w:rPr>
      </w:pPr>
      <w:r>
        <w:rPr>
          <w:rFonts w:hint="eastAsia" w:ascii="宋体" w:hAnsi="宋体"/>
          <w:sz w:val="28"/>
          <w:szCs w:val="28"/>
        </w:rPr>
        <w:t>包含6个一级指标，11个二级指标和24个观测点。专家根据专业负责人汇报、课堂听课、现场考察、座谈会等情况进行评分，满分为100分。</w:t>
      </w:r>
    </w:p>
    <w:tbl>
      <w:tblPr>
        <w:tblStyle w:val="10"/>
        <w:tblW w:w="83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851"/>
        <w:gridCol w:w="1416"/>
        <w:gridCol w:w="3686"/>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741" w:type="dxa"/>
            <w:vMerge w:val="restart"/>
            <w:vAlign w:val="center"/>
          </w:tcPr>
          <w:p>
            <w:pPr>
              <w:spacing w:line="320" w:lineRule="exact"/>
              <w:jc w:val="left"/>
              <w:rPr>
                <w:rFonts w:ascii="宋体" w:hAnsi="宋体"/>
                <w:b/>
                <w:szCs w:val="21"/>
              </w:rPr>
            </w:pPr>
            <w:r>
              <w:rPr>
                <w:rFonts w:hint="eastAsia" w:ascii="宋体" w:hAnsi="宋体"/>
                <w:b/>
                <w:szCs w:val="21"/>
              </w:rPr>
              <w:t>一级指标</w:t>
            </w:r>
          </w:p>
        </w:tc>
        <w:tc>
          <w:tcPr>
            <w:tcW w:w="851" w:type="dxa"/>
            <w:vMerge w:val="restart"/>
            <w:vAlign w:val="center"/>
          </w:tcPr>
          <w:p>
            <w:pPr>
              <w:spacing w:line="320" w:lineRule="exact"/>
              <w:jc w:val="center"/>
              <w:rPr>
                <w:rFonts w:ascii="宋体" w:hAnsi="宋体"/>
                <w:b/>
                <w:szCs w:val="21"/>
              </w:rPr>
            </w:pPr>
            <w:r>
              <w:rPr>
                <w:rFonts w:hint="eastAsia" w:ascii="宋体" w:hAnsi="宋体"/>
                <w:b/>
                <w:szCs w:val="21"/>
              </w:rPr>
              <w:t>二级指标</w:t>
            </w:r>
          </w:p>
        </w:tc>
        <w:tc>
          <w:tcPr>
            <w:tcW w:w="6785" w:type="dxa"/>
            <w:gridSpan w:val="3"/>
            <w:tcBorders>
              <w:bottom w:val="single" w:color="auto" w:sz="4" w:space="0"/>
            </w:tcBorders>
            <w:vAlign w:val="center"/>
          </w:tcPr>
          <w:p>
            <w:pPr>
              <w:spacing w:line="320" w:lineRule="exact"/>
              <w:jc w:val="center"/>
              <w:rPr>
                <w:rFonts w:ascii="宋体" w:hAnsi="宋体"/>
                <w:b/>
                <w:szCs w:val="21"/>
              </w:rPr>
            </w:pPr>
            <w:r>
              <w:rPr>
                <w:rFonts w:hint="eastAsia" w:ascii="宋体" w:hAnsi="宋体"/>
                <w:b/>
                <w:szCs w:val="21"/>
              </w:rPr>
              <w:t>主观定性评估指标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41" w:type="dxa"/>
            <w:vMerge w:val="continue"/>
            <w:tcBorders>
              <w:bottom w:val="single" w:color="000000" w:sz="4" w:space="0"/>
            </w:tcBorders>
            <w:vAlign w:val="center"/>
          </w:tcPr>
          <w:p>
            <w:pPr>
              <w:spacing w:line="320" w:lineRule="exact"/>
              <w:jc w:val="center"/>
              <w:rPr>
                <w:rFonts w:ascii="宋体" w:hAnsi="宋体"/>
                <w:b/>
                <w:szCs w:val="21"/>
              </w:rPr>
            </w:pPr>
          </w:p>
        </w:tc>
        <w:tc>
          <w:tcPr>
            <w:tcW w:w="851" w:type="dxa"/>
            <w:vMerge w:val="continue"/>
            <w:tcBorders>
              <w:bottom w:val="single" w:color="000000" w:sz="4" w:space="0"/>
            </w:tcBorders>
            <w:vAlign w:val="center"/>
          </w:tcPr>
          <w:p>
            <w:pPr>
              <w:spacing w:line="320" w:lineRule="exact"/>
              <w:jc w:val="center"/>
              <w:rPr>
                <w:rFonts w:ascii="宋体" w:hAnsi="宋体"/>
                <w:b/>
                <w:szCs w:val="21"/>
              </w:rPr>
            </w:pPr>
          </w:p>
        </w:tc>
        <w:tc>
          <w:tcPr>
            <w:tcW w:w="1416" w:type="dxa"/>
            <w:tcBorders>
              <w:top w:val="single" w:color="auto" w:sz="4" w:space="0"/>
              <w:bottom w:val="single" w:color="000000" w:sz="4" w:space="0"/>
            </w:tcBorders>
            <w:vAlign w:val="center"/>
          </w:tcPr>
          <w:p>
            <w:pPr>
              <w:spacing w:line="320" w:lineRule="exact"/>
              <w:jc w:val="center"/>
              <w:rPr>
                <w:rFonts w:ascii="宋体" w:hAnsi="宋体"/>
                <w:b/>
                <w:szCs w:val="21"/>
              </w:rPr>
            </w:pPr>
            <w:r>
              <w:rPr>
                <w:rFonts w:hint="eastAsia" w:ascii="宋体" w:hAnsi="宋体"/>
                <w:b/>
                <w:szCs w:val="21"/>
              </w:rPr>
              <w:t>观测点</w:t>
            </w:r>
          </w:p>
        </w:tc>
        <w:tc>
          <w:tcPr>
            <w:tcW w:w="3686" w:type="dxa"/>
            <w:tcBorders>
              <w:top w:val="single" w:color="auto" w:sz="4" w:space="0"/>
              <w:bottom w:val="single" w:color="000000" w:sz="4" w:space="0"/>
            </w:tcBorders>
            <w:vAlign w:val="center"/>
          </w:tcPr>
          <w:p>
            <w:pPr>
              <w:spacing w:line="320" w:lineRule="exact"/>
              <w:jc w:val="center"/>
              <w:rPr>
                <w:rFonts w:ascii="宋体" w:hAnsi="宋体"/>
                <w:b/>
                <w:szCs w:val="21"/>
              </w:rPr>
            </w:pPr>
            <w:r>
              <w:rPr>
                <w:rFonts w:hint="eastAsia" w:ascii="宋体" w:hAnsi="宋体"/>
                <w:b/>
                <w:szCs w:val="21"/>
              </w:rPr>
              <w:t>评分说明</w:t>
            </w:r>
          </w:p>
        </w:tc>
        <w:tc>
          <w:tcPr>
            <w:tcW w:w="1683" w:type="dxa"/>
            <w:tcBorders>
              <w:top w:val="single" w:color="auto" w:sz="4" w:space="0"/>
              <w:bottom w:val="single" w:color="000000" w:sz="4" w:space="0"/>
            </w:tcBorders>
            <w:vAlign w:val="center"/>
          </w:tcPr>
          <w:p>
            <w:pPr>
              <w:spacing w:line="320" w:lineRule="exact"/>
              <w:jc w:val="center"/>
              <w:rPr>
                <w:rFonts w:ascii="宋体" w:hAnsi="宋体"/>
                <w:b/>
                <w:szCs w:val="21"/>
              </w:rPr>
            </w:pPr>
            <w:r>
              <w:rPr>
                <w:rFonts w:hint="eastAsia" w:ascii="宋体" w:hAnsi="宋体"/>
                <w:b/>
                <w:szCs w:val="21"/>
              </w:rPr>
              <w:t>指标解读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741" w:type="dxa"/>
            <w:vMerge w:val="restart"/>
            <w:vAlign w:val="center"/>
          </w:tcPr>
          <w:p>
            <w:pPr>
              <w:autoSpaceDE w:val="0"/>
              <w:autoSpaceDN w:val="0"/>
              <w:adjustRightInd w:val="0"/>
              <w:spacing w:line="320" w:lineRule="exact"/>
              <w:jc w:val="center"/>
              <w:rPr>
                <w:rFonts w:ascii="宋体" w:hAnsi="宋体"/>
                <w:kern w:val="0"/>
                <w:szCs w:val="21"/>
              </w:rPr>
            </w:pPr>
            <w:r>
              <w:rPr>
                <w:rFonts w:ascii="宋体" w:hAnsi="宋体"/>
                <w:kern w:val="0"/>
                <w:szCs w:val="21"/>
              </w:rPr>
              <w:t>1.</w:t>
            </w:r>
          </w:p>
          <w:p>
            <w:pPr>
              <w:autoSpaceDE w:val="0"/>
              <w:autoSpaceDN w:val="0"/>
              <w:adjustRightInd w:val="0"/>
              <w:spacing w:line="320" w:lineRule="exact"/>
              <w:jc w:val="center"/>
              <w:rPr>
                <w:rFonts w:ascii="宋体" w:hAnsi="宋体"/>
                <w:kern w:val="0"/>
                <w:szCs w:val="21"/>
              </w:rPr>
            </w:pPr>
            <w:r>
              <w:rPr>
                <w:rFonts w:hint="eastAsia" w:ascii="宋体" w:hAnsi="宋体"/>
                <w:kern w:val="0"/>
                <w:szCs w:val="21"/>
              </w:rPr>
              <w:t>专业定位与</w:t>
            </w:r>
          </w:p>
          <w:p>
            <w:pPr>
              <w:autoSpaceDE w:val="0"/>
              <w:autoSpaceDN w:val="0"/>
              <w:adjustRightInd w:val="0"/>
              <w:spacing w:line="320" w:lineRule="exact"/>
              <w:jc w:val="center"/>
              <w:rPr>
                <w:rFonts w:ascii="宋体" w:hAnsi="宋体"/>
                <w:kern w:val="0"/>
                <w:szCs w:val="21"/>
              </w:rPr>
            </w:pPr>
            <w:r>
              <w:rPr>
                <w:rFonts w:hint="eastAsia" w:ascii="宋体" w:hAnsi="宋体"/>
                <w:kern w:val="0"/>
                <w:szCs w:val="21"/>
              </w:rPr>
              <w:t>建设规划</w:t>
            </w:r>
          </w:p>
          <w:p>
            <w:pPr>
              <w:autoSpaceDE w:val="0"/>
              <w:autoSpaceDN w:val="0"/>
              <w:adjustRightInd w:val="0"/>
              <w:spacing w:line="320" w:lineRule="exact"/>
              <w:jc w:val="center"/>
              <w:rPr>
                <w:rFonts w:ascii="宋体" w:hAnsi="宋体"/>
                <w:b/>
                <w:szCs w:val="21"/>
              </w:rPr>
            </w:pPr>
            <w:r>
              <w:rPr>
                <w:rFonts w:hint="eastAsia" w:ascii="宋体" w:hAnsi="宋体"/>
                <w:szCs w:val="21"/>
              </w:rPr>
              <w:t>(15分)</w:t>
            </w:r>
          </w:p>
        </w:tc>
        <w:tc>
          <w:tcPr>
            <w:tcW w:w="851" w:type="dxa"/>
            <w:vMerge w:val="restart"/>
            <w:vAlign w:val="center"/>
          </w:tcPr>
          <w:p>
            <w:pPr>
              <w:autoSpaceDE w:val="0"/>
              <w:autoSpaceDN w:val="0"/>
              <w:adjustRightInd w:val="0"/>
              <w:spacing w:line="320" w:lineRule="exact"/>
              <w:rPr>
                <w:rFonts w:ascii="宋体" w:hAnsi="宋体"/>
                <w:kern w:val="0"/>
                <w:szCs w:val="21"/>
              </w:rPr>
            </w:pPr>
            <w:r>
              <w:rPr>
                <w:rFonts w:ascii="宋体" w:hAnsi="宋体"/>
                <w:kern w:val="0"/>
                <w:szCs w:val="21"/>
              </w:rPr>
              <w:t>1.1</w:t>
            </w:r>
          </w:p>
          <w:p>
            <w:pPr>
              <w:autoSpaceDE w:val="0"/>
              <w:autoSpaceDN w:val="0"/>
              <w:adjustRightInd w:val="0"/>
              <w:spacing w:line="320" w:lineRule="exact"/>
              <w:rPr>
                <w:rFonts w:ascii="宋体" w:hAnsi="宋体"/>
                <w:spacing w:val="-10"/>
                <w:kern w:val="0"/>
                <w:szCs w:val="21"/>
              </w:rPr>
            </w:pPr>
            <w:r>
              <w:rPr>
                <w:rFonts w:hint="eastAsia" w:ascii="宋体" w:hAnsi="宋体"/>
                <w:spacing w:val="-10"/>
                <w:sz w:val="22"/>
              </w:rPr>
              <w:t>专业定位与培养方案</w:t>
            </w:r>
          </w:p>
          <w:p>
            <w:pPr>
              <w:spacing w:line="320" w:lineRule="exact"/>
              <w:jc w:val="center"/>
              <w:rPr>
                <w:rFonts w:ascii="宋体" w:hAnsi="宋体"/>
                <w:kern w:val="0"/>
                <w:szCs w:val="21"/>
              </w:rPr>
            </w:pPr>
            <w:r>
              <w:rPr>
                <w:rFonts w:hint="eastAsia" w:ascii="宋体" w:hAnsi="宋体"/>
                <w:szCs w:val="21"/>
              </w:rPr>
              <w:t>(10分)</w:t>
            </w:r>
          </w:p>
        </w:tc>
        <w:tc>
          <w:tcPr>
            <w:tcW w:w="1416" w:type="dxa"/>
            <w:tcBorders>
              <w:bottom w:val="single" w:color="auto" w:sz="4" w:space="0"/>
            </w:tcBorders>
            <w:vAlign w:val="center"/>
          </w:tcPr>
          <w:p>
            <w:pPr>
              <w:autoSpaceDE w:val="0"/>
              <w:autoSpaceDN w:val="0"/>
              <w:adjustRightInd w:val="0"/>
              <w:spacing w:line="320" w:lineRule="exact"/>
              <w:ind w:left="-107" w:leftChars="-51"/>
              <w:rPr>
                <w:rFonts w:ascii="宋体" w:hAnsi="宋体"/>
                <w:kern w:val="0"/>
                <w:szCs w:val="21"/>
              </w:rPr>
            </w:pPr>
            <w:r>
              <w:rPr>
                <w:rFonts w:hint="eastAsia" w:ascii="宋体" w:hAnsi="宋体"/>
                <w:kern w:val="0"/>
                <w:szCs w:val="21"/>
              </w:rPr>
              <w:t>[1]专业定位</w:t>
            </w:r>
          </w:p>
          <w:p>
            <w:pPr>
              <w:autoSpaceDE w:val="0"/>
              <w:autoSpaceDN w:val="0"/>
              <w:adjustRightInd w:val="0"/>
              <w:spacing w:line="320" w:lineRule="exact"/>
              <w:ind w:left="-107" w:leftChars="-51"/>
              <w:rPr>
                <w:rFonts w:ascii="宋体" w:hAnsi="宋体"/>
                <w:szCs w:val="21"/>
              </w:rPr>
            </w:pPr>
            <w:r>
              <w:rPr>
                <w:rFonts w:hint="eastAsia" w:ascii="宋体" w:hAnsi="宋体"/>
                <w:szCs w:val="21"/>
              </w:rPr>
              <w:t>(2分)</w:t>
            </w:r>
          </w:p>
        </w:tc>
        <w:tc>
          <w:tcPr>
            <w:tcW w:w="3686" w:type="dxa"/>
            <w:tcBorders>
              <w:top w:val="single" w:color="auto" w:sz="4" w:space="0"/>
              <w:bottom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专业定位清楚、准确，能够较好符合学校重点发展方向和办学定位，适应经济社会发展需求。</w:t>
            </w:r>
          </w:p>
        </w:tc>
        <w:tc>
          <w:tcPr>
            <w:tcW w:w="1683" w:type="dxa"/>
            <w:vMerge w:val="restart"/>
            <w:tcBorders>
              <w:top w:val="single" w:color="auto" w:sz="4" w:space="0"/>
            </w:tcBorders>
            <w:vAlign w:val="center"/>
          </w:tcPr>
          <w:p>
            <w:pPr>
              <w:autoSpaceDE w:val="0"/>
              <w:autoSpaceDN w:val="0"/>
              <w:adjustRightInd w:val="0"/>
              <w:spacing w:line="320" w:lineRule="exact"/>
              <w:jc w:val="left"/>
              <w:rPr>
                <w:rFonts w:ascii="宋体" w:hAnsi="宋体"/>
                <w:szCs w:val="21"/>
              </w:rPr>
            </w:pPr>
            <w:r>
              <w:rPr>
                <w:rFonts w:hint="eastAsia" w:ascii="宋体" w:hAnsi="宋体"/>
                <w:szCs w:val="21"/>
              </w:rPr>
              <w:t>[1][2]提供培养方案和两个支撑矩阵（毕业要求对培养目标的支撑矩阵、课程体系对毕业要求的支撑矩阵）。</w:t>
            </w:r>
          </w:p>
          <w:p>
            <w:pPr>
              <w:autoSpaceDE w:val="0"/>
              <w:autoSpaceDN w:val="0"/>
              <w:adjustRightInd w:val="0"/>
              <w:spacing w:line="320" w:lineRule="exact"/>
              <w:jc w:val="left"/>
              <w:rPr>
                <w:rFonts w:ascii="宋体" w:hAnsi="宋体"/>
                <w:szCs w:val="21"/>
              </w:rPr>
            </w:pPr>
            <w:r>
              <w:rPr>
                <w:rFonts w:hint="eastAsia" w:ascii="宋体" w:hAnsi="宋体"/>
                <w:szCs w:val="21"/>
              </w:rPr>
              <w:t>人才培养方案以最新版，体现出对培养方案的持续改进。</w:t>
            </w:r>
          </w:p>
          <w:p>
            <w:pPr>
              <w:autoSpaceDE w:val="0"/>
              <w:autoSpaceDN w:val="0"/>
              <w:adjustRightInd w:val="0"/>
              <w:spacing w:line="320" w:lineRule="exact"/>
              <w:jc w:val="left"/>
              <w:rPr>
                <w:rFonts w:ascii="宋体" w:hAnsi="宋体"/>
                <w:szCs w:val="21"/>
              </w:rPr>
            </w:pPr>
            <w:r>
              <w:rPr>
                <w:rFonts w:hint="eastAsia" w:ascii="宋体" w:hAnsi="宋体"/>
                <w:szCs w:val="21"/>
              </w:rPr>
              <w:t>[3]提供专业建设规划，并有实施总结。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741" w:type="dxa"/>
            <w:vMerge w:val="continue"/>
            <w:vAlign w:val="center"/>
          </w:tcPr>
          <w:p>
            <w:pPr>
              <w:autoSpaceDE w:val="0"/>
              <w:autoSpaceDN w:val="0"/>
              <w:adjustRightInd w:val="0"/>
              <w:spacing w:line="320" w:lineRule="exact"/>
              <w:jc w:val="center"/>
              <w:rPr>
                <w:rFonts w:ascii="宋体" w:hAnsi="宋体"/>
                <w:kern w:val="0"/>
                <w:szCs w:val="21"/>
              </w:rPr>
            </w:pPr>
          </w:p>
        </w:tc>
        <w:tc>
          <w:tcPr>
            <w:tcW w:w="851" w:type="dxa"/>
            <w:vMerge w:val="continue"/>
            <w:tcBorders>
              <w:bottom w:val="single" w:color="auto" w:sz="4" w:space="0"/>
            </w:tcBorders>
            <w:vAlign w:val="center"/>
          </w:tcPr>
          <w:p>
            <w:pPr>
              <w:autoSpaceDE w:val="0"/>
              <w:autoSpaceDN w:val="0"/>
              <w:adjustRightInd w:val="0"/>
              <w:spacing w:line="320" w:lineRule="exact"/>
              <w:ind w:left="-107" w:leftChars="-51"/>
              <w:jc w:val="center"/>
              <w:rPr>
                <w:rFonts w:ascii="宋体" w:hAnsi="宋体"/>
                <w:kern w:val="0"/>
                <w:szCs w:val="21"/>
              </w:rPr>
            </w:pPr>
          </w:p>
        </w:tc>
        <w:tc>
          <w:tcPr>
            <w:tcW w:w="1416" w:type="dxa"/>
            <w:tcBorders>
              <w:top w:val="single" w:color="auto" w:sz="4" w:space="0"/>
              <w:bottom w:val="single" w:color="auto"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[2]人才培养</w:t>
            </w:r>
            <w:r>
              <w:rPr>
                <w:rFonts w:ascii="宋体" w:hAnsi="宋体"/>
                <w:kern w:val="0"/>
                <w:szCs w:val="21"/>
              </w:rPr>
              <w:t>方案</w:t>
            </w:r>
            <w:r>
              <w:rPr>
                <w:rFonts w:hint="eastAsia" w:ascii="宋体" w:hAnsi="宋体"/>
                <w:szCs w:val="21"/>
              </w:rPr>
              <w:t>(8分)</w:t>
            </w:r>
          </w:p>
        </w:tc>
        <w:tc>
          <w:tcPr>
            <w:tcW w:w="3686" w:type="dxa"/>
            <w:tcBorders>
              <w:top w:val="single" w:color="auto" w:sz="4" w:space="0"/>
              <w:bottom w:val="single" w:color="000000"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培养目标内容明确清晰，反映毕业五年左右在社会和专业领域的发展预期，体现专业特色和优势，毕业要求能够支撑培养目标的达成，课程体系和教学设计能够支撑毕业要求。培养方案修订和执行能够体现持续改进。</w:t>
            </w:r>
          </w:p>
        </w:tc>
        <w:tc>
          <w:tcPr>
            <w:tcW w:w="1683" w:type="dxa"/>
            <w:vMerge w:val="continue"/>
            <w:vAlign w:val="center"/>
          </w:tcPr>
          <w:p>
            <w:pPr>
              <w:spacing w:line="320" w:lineRule="exact"/>
              <w:jc w:val="lef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741" w:type="dxa"/>
            <w:vMerge w:val="continue"/>
            <w:vAlign w:val="center"/>
          </w:tcPr>
          <w:p>
            <w:pPr>
              <w:autoSpaceDE w:val="0"/>
              <w:autoSpaceDN w:val="0"/>
              <w:adjustRightInd w:val="0"/>
              <w:spacing w:line="320" w:lineRule="exact"/>
              <w:jc w:val="center"/>
              <w:rPr>
                <w:rFonts w:ascii="宋体" w:hAnsi="宋体"/>
                <w:kern w:val="0"/>
                <w:szCs w:val="21"/>
              </w:rPr>
            </w:pPr>
          </w:p>
        </w:tc>
        <w:tc>
          <w:tcPr>
            <w:tcW w:w="851" w:type="dxa"/>
            <w:tcBorders>
              <w:top w:val="single" w:color="auto" w:sz="4" w:space="0"/>
            </w:tcBorders>
            <w:vAlign w:val="center"/>
          </w:tcPr>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 xml:space="preserve">1.2 </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kern w:val="0"/>
                <w:szCs w:val="21"/>
              </w:rPr>
              <w:t>建设规划与效果</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szCs w:val="21"/>
              </w:rPr>
              <w:t>(5分)</w:t>
            </w:r>
          </w:p>
        </w:tc>
        <w:tc>
          <w:tcPr>
            <w:tcW w:w="1416" w:type="dxa"/>
            <w:tcBorders>
              <w:top w:val="single" w:color="auto" w:sz="4" w:space="0"/>
              <w:bottom w:val="single" w:color="auto" w:sz="4" w:space="0"/>
            </w:tcBorders>
            <w:vAlign w:val="center"/>
          </w:tcPr>
          <w:p>
            <w:pPr>
              <w:autoSpaceDE w:val="0"/>
              <w:autoSpaceDN w:val="0"/>
              <w:adjustRightInd w:val="0"/>
              <w:spacing w:line="320" w:lineRule="exact"/>
              <w:ind w:left="-107" w:leftChars="-51"/>
              <w:jc w:val="left"/>
              <w:rPr>
                <w:rFonts w:ascii="宋体" w:hAnsi="宋体"/>
                <w:kern w:val="0"/>
                <w:szCs w:val="21"/>
              </w:rPr>
            </w:pPr>
            <w:r>
              <w:rPr>
                <w:rFonts w:hint="eastAsia" w:ascii="宋体" w:hAnsi="宋体"/>
                <w:kern w:val="0"/>
                <w:szCs w:val="21"/>
              </w:rPr>
              <w:t>[3] 建设目标、规划及成效</w:t>
            </w:r>
            <w:r>
              <w:rPr>
                <w:rFonts w:hint="eastAsia" w:ascii="宋体" w:hAnsi="宋体"/>
                <w:szCs w:val="21"/>
              </w:rPr>
              <w:t>(5分)</w:t>
            </w:r>
          </w:p>
        </w:tc>
        <w:tc>
          <w:tcPr>
            <w:tcW w:w="3686" w:type="dxa"/>
            <w:tcBorders>
              <w:bottom w:val="single" w:color="auto" w:sz="4" w:space="0"/>
            </w:tcBorders>
            <w:vAlign w:val="center"/>
          </w:tcPr>
          <w:p>
            <w:pPr>
              <w:autoSpaceDE w:val="0"/>
              <w:autoSpaceDN w:val="0"/>
              <w:adjustRightInd w:val="0"/>
              <w:spacing w:line="320" w:lineRule="exact"/>
              <w:jc w:val="left"/>
              <w:rPr>
                <w:rFonts w:ascii="宋体" w:hAnsi="宋体"/>
                <w:kern w:val="0"/>
                <w:szCs w:val="21"/>
              </w:rPr>
            </w:pPr>
            <w:r>
              <w:rPr>
                <w:rFonts w:hint="eastAsia" w:ascii="宋体" w:hAnsi="宋体"/>
                <w:kern w:val="0"/>
                <w:szCs w:val="21"/>
              </w:rPr>
              <w:t>有近期和远期专业发展规划，论证充分，目标和措施清晰，符合学校总体规划。能够完成专业建设规划，建设成效显著，特色鲜明。建设成效体现“以学生为中心”和“以产出为导向”。</w:t>
            </w:r>
          </w:p>
        </w:tc>
        <w:tc>
          <w:tcPr>
            <w:tcW w:w="1683" w:type="dxa"/>
            <w:vMerge w:val="continue"/>
            <w:vAlign w:val="center"/>
          </w:tcPr>
          <w:p>
            <w:pPr>
              <w:spacing w:line="320" w:lineRule="exact"/>
              <w:jc w:val="lef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7" w:hRule="atLeast"/>
          <w:jc w:val="center"/>
        </w:trPr>
        <w:tc>
          <w:tcPr>
            <w:tcW w:w="741" w:type="dxa"/>
            <w:vMerge w:val="restart"/>
            <w:tcBorders>
              <w:top w:val="single" w:color="auto" w:sz="4" w:space="0"/>
            </w:tcBorders>
            <w:vAlign w:val="center"/>
          </w:tcPr>
          <w:p>
            <w:pPr>
              <w:autoSpaceDE w:val="0"/>
              <w:autoSpaceDN w:val="0"/>
              <w:adjustRightInd w:val="0"/>
              <w:spacing w:line="320" w:lineRule="exact"/>
              <w:jc w:val="center"/>
              <w:rPr>
                <w:rFonts w:ascii="宋体" w:hAnsi="宋体"/>
                <w:kern w:val="0"/>
                <w:szCs w:val="21"/>
              </w:rPr>
            </w:pPr>
            <w:r>
              <w:rPr>
                <w:rFonts w:hint="eastAsia" w:ascii="宋体" w:hAnsi="宋体"/>
                <w:kern w:val="0"/>
                <w:szCs w:val="21"/>
              </w:rPr>
              <w:t>2.</w:t>
            </w:r>
          </w:p>
          <w:p>
            <w:pPr>
              <w:spacing w:line="320" w:lineRule="exact"/>
              <w:jc w:val="center"/>
              <w:rPr>
                <w:rFonts w:ascii="宋体" w:hAnsi="宋体"/>
                <w:kern w:val="0"/>
                <w:szCs w:val="21"/>
              </w:rPr>
            </w:pPr>
            <w:r>
              <w:rPr>
                <w:rFonts w:hint="eastAsia" w:ascii="宋体" w:hAnsi="宋体"/>
                <w:kern w:val="0"/>
                <w:szCs w:val="21"/>
              </w:rPr>
              <w:t>师资队伍及</w:t>
            </w:r>
          </w:p>
          <w:p>
            <w:pPr>
              <w:spacing w:line="320" w:lineRule="exact"/>
              <w:jc w:val="center"/>
              <w:rPr>
                <w:rFonts w:ascii="宋体" w:hAnsi="宋体"/>
                <w:kern w:val="0"/>
                <w:szCs w:val="21"/>
              </w:rPr>
            </w:pPr>
            <w:r>
              <w:rPr>
                <w:rFonts w:hint="eastAsia" w:ascii="宋体" w:hAnsi="宋体"/>
                <w:kern w:val="0"/>
                <w:szCs w:val="21"/>
              </w:rPr>
              <w:t>教学水平</w:t>
            </w:r>
          </w:p>
          <w:p>
            <w:pPr>
              <w:spacing w:line="320" w:lineRule="exact"/>
              <w:jc w:val="center"/>
              <w:rPr>
                <w:rFonts w:ascii="宋体" w:hAnsi="宋体"/>
                <w:kern w:val="0"/>
                <w:szCs w:val="21"/>
              </w:rPr>
            </w:pPr>
            <w:r>
              <w:rPr>
                <w:rFonts w:hint="eastAsia" w:ascii="宋体" w:hAnsi="宋体"/>
                <w:szCs w:val="21"/>
              </w:rPr>
              <w:t>(15分)</w:t>
            </w:r>
          </w:p>
        </w:tc>
        <w:tc>
          <w:tcPr>
            <w:tcW w:w="851" w:type="dxa"/>
            <w:tcBorders>
              <w:top w:val="single" w:color="auto" w:sz="4" w:space="0"/>
              <w:bottom w:val="single" w:color="auto" w:sz="4" w:space="0"/>
            </w:tcBorders>
            <w:vAlign w:val="center"/>
          </w:tcPr>
          <w:p>
            <w:pPr>
              <w:spacing w:line="320" w:lineRule="exact"/>
              <w:jc w:val="center"/>
              <w:rPr>
                <w:rFonts w:ascii="宋体" w:hAnsi="宋体"/>
                <w:szCs w:val="21"/>
              </w:rPr>
            </w:pPr>
            <w:r>
              <w:rPr>
                <w:rFonts w:hint="eastAsia" w:ascii="宋体" w:hAnsi="宋体"/>
                <w:szCs w:val="21"/>
              </w:rPr>
              <w:t>2.1</w:t>
            </w:r>
          </w:p>
          <w:p>
            <w:pPr>
              <w:spacing w:line="320" w:lineRule="exact"/>
              <w:jc w:val="center"/>
              <w:rPr>
                <w:rFonts w:ascii="宋体" w:hAnsi="宋体"/>
                <w:kern w:val="0"/>
                <w:szCs w:val="21"/>
              </w:rPr>
            </w:pPr>
            <w:r>
              <w:rPr>
                <w:rFonts w:hint="eastAsia" w:ascii="宋体" w:hAnsi="宋体"/>
                <w:kern w:val="0"/>
                <w:szCs w:val="21"/>
              </w:rPr>
              <w:t xml:space="preserve">师资队伍建设 </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szCs w:val="21"/>
              </w:rPr>
              <w:t>(5分)</w:t>
            </w:r>
          </w:p>
        </w:tc>
        <w:tc>
          <w:tcPr>
            <w:tcW w:w="1416" w:type="dxa"/>
            <w:tcBorders>
              <w:top w:val="single" w:color="auto" w:sz="4" w:space="0"/>
              <w:bottom w:val="single" w:color="auto" w:sz="4" w:space="0"/>
            </w:tcBorders>
            <w:vAlign w:val="center"/>
          </w:tcPr>
          <w:p>
            <w:pPr>
              <w:spacing w:line="320" w:lineRule="exact"/>
              <w:jc w:val="left"/>
              <w:rPr>
                <w:rFonts w:ascii="宋体" w:hAnsi="宋体"/>
                <w:szCs w:val="21"/>
              </w:rPr>
            </w:pPr>
            <w:r>
              <w:rPr>
                <w:rFonts w:hint="eastAsia" w:ascii="宋体" w:hAnsi="宋体"/>
                <w:kern w:val="0"/>
                <w:szCs w:val="21"/>
              </w:rPr>
              <w:t>[4]</w:t>
            </w:r>
            <w:r>
              <w:rPr>
                <w:rFonts w:hint="eastAsia" w:ascii="宋体" w:hAnsi="宋体"/>
                <w:szCs w:val="21"/>
              </w:rPr>
              <w:t>师资队伍建设措施及成效(5分)</w:t>
            </w:r>
          </w:p>
        </w:tc>
        <w:tc>
          <w:tcPr>
            <w:tcW w:w="3686" w:type="dxa"/>
            <w:tcBorders>
              <w:top w:val="single" w:color="auto" w:sz="4" w:space="0"/>
              <w:bottom w:val="single" w:color="auto" w:sz="4" w:space="0"/>
            </w:tcBorders>
            <w:vAlign w:val="center"/>
          </w:tcPr>
          <w:p>
            <w:pPr>
              <w:spacing w:line="320" w:lineRule="exact"/>
              <w:jc w:val="left"/>
              <w:rPr>
                <w:rFonts w:ascii="宋体" w:hAnsi="宋体"/>
                <w:szCs w:val="21"/>
              </w:rPr>
            </w:pPr>
            <w:r>
              <w:rPr>
                <w:rFonts w:hint="eastAsia" w:ascii="宋体" w:hAnsi="宋体"/>
                <w:szCs w:val="21"/>
              </w:rPr>
              <w:t>有明确的教师队伍建设规划和政策，制度健全，措施得力，执行好；有教学团队建设规划，团队建设有成效；重视年轻教师的培养，成效显著；包括青年教师导师制、传帮带、进修助课、实践锻炼、讲课比赛、领导听课、同行听课等方面的措施及取得的成效。根据专业需求聘任兼职教师，并参与教学。</w:t>
            </w:r>
          </w:p>
        </w:tc>
        <w:tc>
          <w:tcPr>
            <w:tcW w:w="1683" w:type="dxa"/>
            <w:vMerge w:val="restart"/>
            <w:tcBorders>
              <w:top w:val="single" w:color="auto" w:sz="4" w:space="0"/>
            </w:tcBorders>
            <w:vAlign w:val="center"/>
          </w:tcPr>
          <w:p>
            <w:pPr>
              <w:spacing w:line="320" w:lineRule="exact"/>
              <w:jc w:val="left"/>
              <w:rPr>
                <w:rFonts w:ascii="宋体" w:hAnsi="宋体"/>
                <w:szCs w:val="21"/>
              </w:rPr>
            </w:pPr>
            <w:r>
              <w:rPr>
                <w:rFonts w:hint="eastAsia" w:ascii="宋体" w:hAnsi="宋体"/>
                <w:szCs w:val="21"/>
              </w:rPr>
              <w:t>[4]定量指标中没有体现的关于师资队伍的情况及特色均可在此描述。</w:t>
            </w:r>
          </w:p>
          <w:p>
            <w:pPr>
              <w:spacing w:line="320" w:lineRule="exact"/>
              <w:jc w:val="left"/>
              <w:rPr>
                <w:rFonts w:ascii="宋体" w:hAnsi="宋体"/>
                <w:szCs w:val="21"/>
              </w:rPr>
            </w:pPr>
            <w:r>
              <w:rPr>
                <w:rFonts w:hint="eastAsia" w:ascii="宋体" w:hAnsi="宋体"/>
                <w:szCs w:val="21"/>
              </w:rPr>
              <w:t>有的专业在国家标准中对兼职教师比例有要求，请参考。</w:t>
            </w:r>
          </w:p>
          <w:p>
            <w:pPr>
              <w:spacing w:line="320" w:lineRule="exact"/>
              <w:jc w:val="left"/>
              <w:rPr>
                <w:rFonts w:ascii="宋体" w:hAnsi="宋体"/>
                <w:szCs w:val="21"/>
              </w:rPr>
            </w:pPr>
            <w:r>
              <w:rPr>
                <w:rFonts w:hint="eastAsia" w:ascii="宋体" w:hAnsi="宋体"/>
                <w:szCs w:val="21"/>
              </w:rPr>
              <w:t>[5]科研转化教学有总结有案例。</w:t>
            </w:r>
          </w:p>
          <w:p>
            <w:pPr>
              <w:spacing w:line="320" w:lineRule="exact"/>
              <w:jc w:val="left"/>
              <w:rPr>
                <w:rFonts w:ascii="宋体" w:hAnsi="宋体"/>
                <w:szCs w:val="21"/>
              </w:rPr>
            </w:pPr>
            <w:r>
              <w:rPr>
                <w:rFonts w:hint="eastAsia" w:ascii="宋体" w:hAnsi="宋体"/>
                <w:szCs w:val="21"/>
              </w:rPr>
              <w:t xml:space="preserve"> [6] 专家听课打分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741" w:type="dxa"/>
            <w:vMerge w:val="continue"/>
            <w:vAlign w:val="center"/>
          </w:tcPr>
          <w:p>
            <w:pPr>
              <w:autoSpaceDE w:val="0"/>
              <w:autoSpaceDN w:val="0"/>
              <w:adjustRightInd w:val="0"/>
              <w:spacing w:line="320" w:lineRule="exact"/>
              <w:jc w:val="center"/>
              <w:rPr>
                <w:rFonts w:ascii="宋体" w:hAnsi="宋体"/>
                <w:kern w:val="0"/>
                <w:szCs w:val="21"/>
              </w:rPr>
            </w:pPr>
          </w:p>
        </w:tc>
        <w:tc>
          <w:tcPr>
            <w:tcW w:w="851" w:type="dxa"/>
            <w:vMerge w:val="restart"/>
            <w:tcBorders>
              <w:top w:val="single" w:color="auto" w:sz="4" w:space="0"/>
            </w:tcBorders>
            <w:vAlign w:val="center"/>
          </w:tcPr>
          <w:p>
            <w:pPr>
              <w:spacing w:line="320" w:lineRule="exact"/>
              <w:jc w:val="center"/>
              <w:rPr>
                <w:rFonts w:ascii="宋体" w:hAnsi="宋体"/>
                <w:kern w:val="0"/>
                <w:szCs w:val="21"/>
              </w:rPr>
            </w:pPr>
            <w:r>
              <w:rPr>
                <w:rFonts w:hint="eastAsia" w:ascii="宋体" w:hAnsi="宋体"/>
                <w:kern w:val="0"/>
                <w:szCs w:val="21"/>
              </w:rPr>
              <w:t>2.2</w:t>
            </w:r>
          </w:p>
          <w:p>
            <w:pPr>
              <w:spacing w:line="320" w:lineRule="exact"/>
              <w:jc w:val="center"/>
              <w:rPr>
                <w:rFonts w:ascii="宋体" w:hAnsi="宋体"/>
                <w:kern w:val="0"/>
                <w:szCs w:val="21"/>
              </w:rPr>
            </w:pPr>
            <w:r>
              <w:rPr>
                <w:rFonts w:hint="eastAsia" w:ascii="宋体" w:hAnsi="宋体"/>
                <w:kern w:val="0"/>
                <w:szCs w:val="21"/>
              </w:rPr>
              <w:t>教师教学水平</w:t>
            </w:r>
          </w:p>
          <w:p>
            <w:pPr>
              <w:autoSpaceDE w:val="0"/>
              <w:autoSpaceDN w:val="0"/>
              <w:adjustRightInd w:val="0"/>
              <w:spacing w:line="320" w:lineRule="exact"/>
              <w:ind w:left="-107" w:leftChars="-51"/>
              <w:jc w:val="center"/>
              <w:rPr>
                <w:rFonts w:ascii="宋体" w:hAnsi="宋体"/>
                <w:kern w:val="0"/>
                <w:szCs w:val="21"/>
              </w:rPr>
            </w:pPr>
            <w:r>
              <w:rPr>
                <w:rFonts w:hint="eastAsia" w:ascii="宋体" w:hAnsi="宋体"/>
                <w:szCs w:val="21"/>
              </w:rPr>
              <w:t xml:space="preserve"> (10分)</w:t>
            </w:r>
          </w:p>
        </w:tc>
        <w:tc>
          <w:tcPr>
            <w:tcW w:w="1416" w:type="dxa"/>
            <w:tcBorders>
              <w:top w:val="single" w:color="auto" w:sz="4" w:space="0"/>
              <w:bottom w:val="single" w:color="auto" w:sz="4" w:space="0"/>
            </w:tcBorders>
            <w:vAlign w:val="center"/>
          </w:tcPr>
          <w:p>
            <w:pPr>
              <w:keepNext/>
              <w:spacing w:line="280" w:lineRule="exact"/>
              <w:outlineLvl w:val="0"/>
              <w:rPr>
                <w:rFonts w:ascii="宋体" w:hAnsi="宋体"/>
                <w:sz w:val="22"/>
              </w:rPr>
            </w:pPr>
            <w:r>
              <w:rPr>
                <w:rFonts w:hint="eastAsia" w:ascii="宋体" w:hAnsi="宋体"/>
                <w:szCs w:val="21"/>
              </w:rPr>
              <w:t>[5]</w:t>
            </w:r>
            <w:r>
              <w:rPr>
                <w:rFonts w:hint="eastAsia" w:ascii="宋体" w:hAnsi="宋体"/>
                <w:sz w:val="22"/>
              </w:rPr>
              <w:t>科研及转化支持教学情况</w:t>
            </w:r>
            <w:r>
              <w:rPr>
                <w:rFonts w:hint="eastAsia" w:ascii="宋体" w:hAnsi="宋体"/>
                <w:szCs w:val="21"/>
              </w:rPr>
              <w:t>(3分)</w:t>
            </w:r>
          </w:p>
        </w:tc>
        <w:tc>
          <w:tcPr>
            <w:tcW w:w="3686" w:type="dxa"/>
            <w:tcBorders>
              <w:bottom w:val="single" w:color="auto" w:sz="4" w:space="0"/>
            </w:tcBorders>
            <w:vAlign w:val="center"/>
          </w:tcPr>
          <w:p>
            <w:pPr>
              <w:spacing w:line="320" w:lineRule="exact"/>
              <w:rPr>
                <w:rFonts w:ascii="宋体" w:hAnsi="宋体"/>
                <w:szCs w:val="21"/>
              </w:rPr>
            </w:pPr>
            <w:r>
              <w:rPr>
                <w:rFonts w:hint="eastAsia" w:ascii="宋体" w:hAnsi="宋体"/>
                <w:szCs w:val="21"/>
              </w:rPr>
              <w:t>教师主持或参与科研项目的比例高；通过不同形式转化支持教学，如形成教学案例、写入教材、学生参与项目、指导竞赛、学生创新创业等形式成效显著。</w:t>
            </w:r>
          </w:p>
        </w:tc>
        <w:tc>
          <w:tcPr>
            <w:tcW w:w="1683" w:type="dxa"/>
            <w:vMerge w:val="continue"/>
            <w:vAlign w:val="center"/>
          </w:tcPr>
          <w:p>
            <w:pPr>
              <w:spacing w:line="320" w:lineRule="exact"/>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741" w:type="dxa"/>
            <w:vMerge w:val="continue"/>
            <w:vAlign w:val="center"/>
          </w:tcPr>
          <w:p>
            <w:pPr>
              <w:autoSpaceDE w:val="0"/>
              <w:autoSpaceDN w:val="0"/>
              <w:adjustRightInd w:val="0"/>
              <w:spacing w:line="320" w:lineRule="exact"/>
              <w:jc w:val="center"/>
              <w:rPr>
                <w:rFonts w:ascii="宋体" w:hAnsi="宋体"/>
                <w:kern w:val="0"/>
                <w:szCs w:val="21"/>
              </w:rPr>
            </w:pPr>
          </w:p>
        </w:tc>
        <w:tc>
          <w:tcPr>
            <w:tcW w:w="851" w:type="dxa"/>
            <w:vMerge w:val="continue"/>
            <w:vAlign w:val="center"/>
          </w:tcPr>
          <w:p>
            <w:pPr>
              <w:autoSpaceDE w:val="0"/>
              <w:autoSpaceDN w:val="0"/>
              <w:adjustRightInd w:val="0"/>
              <w:spacing w:line="320" w:lineRule="exact"/>
              <w:ind w:left="-107" w:leftChars="-51"/>
              <w:jc w:val="center"/>
              <w:rPr>
                <w:rFonts w:ascii="宋体" w:hAnsi="宋体"/>
                <w:kern w:val="0"/>
                <w:szCs w:val="21"/>
              </w:rPr>
            </w:pPr>
          </w:p>
        </w:tc>
        <w:tc>
          <w:tcPr>
            <w:tcW w:w="1416" w:type="dxa"/>
            <w:tcBorders>
              <w:bottom w:val="single" w:color="auto" w:sz="4" w:space="0"/>
            </w:tcBorders>
            <w:vAlign w:val="center"/>
          </w:tcPr>
          <w:p>
            <w:pPr>
              <w:keepNext/>
              <w:spacing w:line="280" w:lineRule="exact"/>
              <w:outlineLvl w:val="0"/>
              <w:rPr>
                <w:rFonts w:ascii="宋体" w:hAnsi="宋体"/>
                <w:szCs w:val="21"/>
              </w:rPr>
            </w:pPr>
            <w:r>
              <w:rPr>
                <w:rFonts w:hint="eastAsia" w:ascii="宋体" w:hAnsi="宋体"/>
                <w:szCs w:val="21"/>
              </w:rPr>
              <w:t>[6]课堂教学效果(7分 )</w:t>
            </w:r>
          </w:p>
        </w:tc>
        <w:tc>
          <w:tcPr>
            <w:tcW w:w="3686" w:type="dxa"/>
            <w:tcBorders>
              <w:bottom w:val="single" w:color="auto" w:sz="4" w:space="0"/>
            </w:tcBorders>
            <w:vAlign w:val="center"/>
          </w:tcPr>
          <w:p>
            <w:pPr>
              <w:spacing w:line="320" w:lineRule="exact"/>
              <w:rPr>
                <w:rFonts w:ascii="宋体" w:hAnsi="宋体"/>
                <w:color w:val="FF0000"/>
                <w:szCs w:val="21"/>
              </w:rPr>
            </w:pPr>
            <w:r>
              <w:rPr>
                <w:rFonts w:hint="eastAsia" w:ascii="宋体" w:hAnsi="宋体"/>
                <w:szCs w:val="21"/>
              </w:rPr>
              <w:t>教师授课态度认真，教学目标设定清晰，教学内容娴熟，教学设计合理，注重管理课堂，课堂秩序好，课堂气氛浓厚，授课整体效果好。</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restart"/>
            <w:vAlign w:val="center"/>
          </w:tcPr>
          <w:p>
            <w:pPr>
              <w:spacing w:line="320" w:lineRule="exact"/>
              <w:jc w:val="center"/>
              <w:rPr>
                <w:rFonts w:ascii="宋体" w:hAnsi="宋体"/>
                <w:szCs w:val="21"/>
              </w:rPr>
            </w:pPr>
            <w:r>
              <w:rPr>
                <w:rFonts w:hint="eastAsia" w:ascii="宋体" w:hAnsi="宋体"/>
                <w:szCs w:val="21"/>
              </w:rPr>
              <w:t>3.</w:t>
            </w:r>
          </w:p>
          <w:p>
            <w:pPr>
              <w:spacing w:line="320" w:lineRule="exact"/>
              <w:jc w:val="center"/>
              <w:rPr>
                <w:rFonts w:ascii="宋体" w:hAnsi="宋体"/>
                <w:szCs w:val="21"/>
              </w:rPr>
            </w:pPr>
            <w:r>
              <w:rPr>
                <w:rFonts w:hint="eastAsia" w:ascii="宋体" w:hAnsi="宋体"/>
                <w:szCs w:val="21"/>
              </w:rPr>
              <w:t>教学建设及教学效果</w:t>
            </w:r>
          </w:p>
          <w:p>
            <w:pPr>
              <w:spacing w:line="320" w:lineRule="exact"/>
              <w:jc w:val="center"/>
              <w:rPr>
                <w:rFonts w:ascii="宋体" w:hAnsi="宋体"/>
                <w:szCs w:val="21"/>
              </w:rPr>
            </w:pPr>
            <w:r>
              <w:rPr>
                <w:rFonts w:hint="eastAsia" w:ascii="宋体" w:hAnsi="宋体"/>
                <w:szCs w:val="21"/>
              </w:rPr>
              <w:t>(35分)</w:t>
            </w:r>
          </w:p>
        </w:tc>
        <w:tc>
          <w:tcPr>
            <w:tcW w:w="851" w:type="dxa"/>
            <w:vMerge w:val="restart"/>
            <w:vAlign w:val="center"/>
          </w:tcPr>
          <w:p>
            <w:pPr>
              <w:spacing w:line="320" w:lineRule="exact"/>
              <w:jc w:val="center"/>
              <w:rPr>
                <w:rFonts w:ascii="宋体" w:hAnsi="宋体"/>
                <w:szCs w:val="21"/>
              </w:rPr>
            </w:pPr>
            <w:r>
              <w:rPr>
                <w:rFonts w:hint="eastAsia" w:ascii="宋体" w:hAnsi="宋体"/>
                <w:szCs w:val="21"/>
              </w:rPr>
              <w:t>3.1</w:t>
            </w:r>
          </w:p>
          <w:p>
            <w:pPr>
              <w:spacing w:line="320" w:lineRule="exact"/>
              <w:jc w:val="center"/>
              <w:rPr>
                <w:rFonts w:ascii="仿宋" w:hAnsi="仿宋" w:eastAsia="仿宋"/>
                <w:color w:val="FF0000"/>
                <w:sz w:val="24"/>
                <w:szCs w:val="24"/>
              </w:rPr>
            </w:pPr>
            <w:r>
              <w:rPr>
                <w:rFonts w:hint="eastAsia" w:ascii="宋体" w:hAnsi="宋体"/>
                <w:szCs w:val="21"/>
              </w:rPr>
              <w:t>课程建设</w:t>
            </w:r>
          </w:p>
          <w:p>
            <w:pPr>
              <w:spacing w:line="320" w:lineRule="exact"/>
              <w:jc w:val="center"/>
              <w:rPr>
                <w:rFonts w:ascii="宋体" w:hAnsi="宋体"/>
                <w:szCs w:val="21"/>
              </w:rPr>
            </w:pPr>
            <w:r>
              <w:rPr>
                <w:rFonts w:hint="eastAsia" w:ascii="宋体" w:hAnsi="宋体"/>
                <w:szCs w:val="21"/>
              </w:rPr>
              <w:t>(18分)</w:t>
            </w:r>
          </w:p>
        </w:tc>
        <w:tc>
          <w:tcPr>
            <w:tcW w:w="1416" w:type="dxa"/>
            <w:vAlign w:val="center"/>
          </w:tcPr>
          <w:p>
            <w:pPr>
              <w:spacing w:line="320" w:lineRule="exact"/>
              <w:rPr>
                <w:rFonts w:ascii="宋体" w:hAnsi="宋体"/>
                <w:szCs w:val="21"/>
              </w:rPr>
            </w:pPr>
            <w:r>
              <w:rPr>
                <w:rFonts w:hint="eastAsia" w:ascii="宋体" w:hAnsi="宋体"/>
                <w:szCs w:val="21"/>
              </w:rPr>
              <w:t>[7]课程建设规划(4分)</w:t>
            </w:r>
          </w:p>
        </w:tc>
        <w:tc>
          <w:tcPr>
            <w:tcW w:w="3686" w:type="dxa"/>
            <w:vAlign w:val="center"/>
          </w:tcPr>
          <w:p>
            <w:pPr>
              <w:spacing w:line="320" w:lineRule="exact"/>
              <w:rPr>
                <w:rFonts w:ascii="宋体" w:hAnsi="宋体"/>
                <w:szCs w:val="21"/>
              </w:rPr>
            </w:pPr>
            <w:r>
              <w:rPr>
                <w:rFonts w:hint="eastAsia" w:ascii="宋体" w:hAnsi="宋体"/>
                <w:szCs w:val="21"/>
              </w:rPr>
              <w:t>学院有课程建设规划，建设思路清晰，规划科学合理，学院有激励约束机制，落实执行良好，成效显著。</w:t>
            </w:r>
          </w:p>
        </w:tc>
        <w:tc>
          <w:tcPr>
            <w:tcW w:w="1683" w:type="dxa"/>
            <w:vMerge w:val="restart"/>
            <w:vAlign w:val="center"/>
          </w:tcPr>
          <w:p>
            <w:pPr>
              <w:spacing w:line="320" w:lineRule="exact"/>
              <w:jc w:val="left"/>
              <w:rPr>
                <w:rFonts w:ascii="宋体" w:hAnsi="宋体"/>
                <w:szCs w:val="21"/>
              </w:rPr>
            </w:pPr>
            <w:r>
              <w:rPr>
                <w:rFonts w:hint="eastAsia" w:ascii="宋体" w:hAnsi="宋体"/>
                <w:szCs w:val="21"/>
              </w:rPr>
              <w:t>[7]学院或专业有课程建设规划,学院有课程建设激励制度并有实施的支撑材料。</w:t>
            </w:r>
          </w:p>
          <w:p>
            <w:pPr>
              <w:spacing w:line="320" w:lineRule="exact"/>
              <w:jc w:val="left"/>
              <w:rPr>
                <w:rFonts w:ascii="宋体" w:hAnsi="宋体"/>
                <w:szCs w:val="21"/>
              </w:rPr>
            </w:pPr>
            <w:r>
              <w:rPr>
                <w:rFonts w:hint="eastAsia" w:ascii="宋体" w:hAnsi="宋体"/>
                <w:szCs w:val="21"/>
              </w:rPr>
              <w:t>[8]教学大纲齐全，有修订的记录。</w:t>
            </w:r>
          </w:p>
          <w:p>
            <w:pPr>
              <w:spacing w:line="320" w:lineRule="exact"/>
              <w:jc w:val="left"/>
              <w:rPr>
                <w:rFonts w:ascii="宋体" w:hAnsi="宋体"/>
                <w:szCs w:val="21"/>
              </w:rPr>
            </w:pPr>
            <w:r>
              <w:rPr>
                <w:rFonts w:hint="eastAsia" w:ascii="宋体" w:hAnsi="宋体"/>
                <w:szCs w:val="21"/>
              </w:rPr>
              <w:t>[9]提供相关支撑材料</w:t>
            </w:r>
          </w:p>
          <w:p>
            <w:pPr>
              <w:spacing w:line="320" w:lineRule="exact"/>
              <w:jc w:val="left"/>
              <w:rPr>
                <w:rFonts w:ascii="宋体" w:hAnsi="宋体"/>
                <w:szCs w:val="21"/>
              </w:rPr>
            </w:pPr>
            <w:r>
              <w:rPr>
                <w:rFonts w:hint="eastAsia" w:ascii="宋体" w:hAnsi="宋体"/>
                <w:szCs w:val="21"/>
              </w:rPr>
              <w:t>[10]课程资源建设是条件，应落实到应用上。应分建设和应用两方面进行综合评价。</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rPr>
                <w:rFonts w:ascii="宋体" w:hAnsi="宋体"/>
                <w:szCs w:val="21"/>
              </w:rPr>
            </w:pPr>
          </w:p>
        </w:tc>
        <w:tc>
          <w:tcPr>
            <w:tcW w:w="851" w:type="dxa"/>
            <w:vMerge w:val="continue"/>
            <w:vAlign w:val="center"/>
          </w:tcPr>
          <w:p>
            <w:pPr>
              <w:spacing w:line="260" w:lineRule="exact"/>
              <w:ind w:firstLine="3360" w:firstLineChars="1600"/>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[8]教学大纲(5分)</w:t>
            </w:r>
          </w:p>
        </w:tc>
        <w:tc>
          <w:tcPr>
            <w:tcW w:w="3686" w:type="dxa"/>
            <w:vAlign w:val="center"/>
          </w:tcPr>
          <w:p>
            <w:pPr>
              <w:spacing w:line="320" w:lineRule="exact"/>
              <w:rPr>
                <w:rFonts w:ascii="宋体" w:hAnsi="宋体"/>
                <w:szCs w:val="21"/>
              </w:rPr>
            </w:pPr>
            <w:r>
              <w:rPr>
                <w:rFonts w:hint="eastAsia" w:ascii="宋体" w:hAnsi="宋体"/>
                <w:szCs w:val="21"/>
              </w:rPr>
              <w:t>教学大纲充分体现对本专业培养目标的支撑，学生能够充分了解课程学习目标；严格执行，并定期对教学大纲进行修订。</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ind w:firstLine="480"/>
              <w:rPr>
                <w:rFonts w:ascii="宋体" w:hAnsi="宋体"/>
                <w:szCs w:val="21"/>
              </w:rPr>
            </w:pPr>
          </w:p>
        </w:tc>
        <w:tc>
          <w:tcPr>
            <w:tcW w:w="851" w:type="dxa"/>
            <w:vMerge w:val="continue"/>
            <w:vAlign w:val="center"/>
          </w:tcPr>
          <w:p>
            <w:pPr>
              <w:spacing w:line="260" w:lineRule="exact"/>
              <w:ind w:firstLine="3360" w:firstLineChars="1600"/>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[9]教材或参考书开发与选用(4分)</w:t>
            </w:r>
          </w:p>
        </w:tc>
        <w:tc>
          <w:tcPr>
            <w:tcW w:w="3686" w:type="dxa"/>
            <w:vAlign w:val="center"/>
          </w:tcPr>
          <w:p>
            <w:pPr>
              <w:spacing w:line="320" w:lineRule="exact"/>
              <w:rPr>
                <w:rFonts w:ascii="宋体" w:hAnsi="宋体"/>
                <w:szCs w:val="21"/>
              </w:rPr>
            </w:pPr>
            <w:r>
              <w:rPr>
                <w:rFonts w:hint="eastAsia" w:ascii="宋体" w:hAnsi="宋体"/>
                <w:szCs w:val="21"/>
              </w:rPr>
              <w:t>有重点支持特色教材或参考书开发的规划与措施，成效显著；有科学的教材或参考书选用制度，执行严格，能选用同行公认的高水平教材，使用效果好。</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ind w:firstLine="480"/>
              <w:rPr>
                <w:rFonts w:ascii="宋体" w:hAnsi="宋体"/>
                <w:szCs w:val="21"/>
              </w:rPr>
            </w:pPr>
          </w:p>
        </w:tc>
        <w:tc>
          <w:tcPr>
            <w:tcW w:w="851" w:type="dxa"/>
            <w:vMerge w:val="continue"/>
            <w:vAlign w:val="center"/>
          </w:tcPr>
          <w:p>
            <w:pPr>
              <w:spacing w:line="260" w:lineRule="exact"/>
              <w:ind w:firstLine="3360" w:firstLineChars="1600"/>
              <w:rPr>
                <w:rFonts w:ascii="宋体" w:hAnsi="宋体"/>
                <w:szCs w:val="21"/>
              </w:rPr>
            </w:pPr>
          </w:p>
        </w:tc>
        <w:tc>
          <w:tcPr>
            <w:tcW w:w="1416" w:type="dxa"/>
            <w:vAlign w:val="center"/>
          </w:tcPr>
          <w:p>
            <w:pPr>
              <w:spacing w:line="260" w:lineRule="exact"/>
              <w:ind w:firstLine="3360" w:firstLineChars="1600"/>
              <w:rPr>
                <w:rFonts w:ascii="仿宋" w:hAnsi="仿宋" w:eastAsia="仿宋"/>
                <w:sz w:val="24"/>
                <w:szCs w:val="24"/>
              </w:rPr>
            </w:pPr>
            <w:r>
              <w:rPr>
                <w:rFonts w:hint="eastAsia" w:ascii="宋体" w:hAnsi="宋体"/>
                <w:szCs w:val="21"/>
              </w:rPr>
              <w:t>[[10]网络资源建设及应用(5分)</w:t>
            </w:r>
          </w:p>
        </w:tc>
        <w:tc>
          <w:tcPr>
            <w:tcW w:w="3686" w:type="dxa"/>
            <w:vAlign w:val="center"/>
          </w:tcPr>
          <w:p>
            <w:pPr>
              <w:widowControl/>
              <w:spacing w:line="320" w:lineRule="exact"/>
              <w:rPr>
                <w:rFonts w:ascii="宋体" w:hAnsi="宋体" w:cs="宋体"/>
                <w:kern w:val="0"/>
                <w:szCs w:val="21"/>
              </w:rPr>
            </w:pPr>
            <w:r>
              <w:rPr>
                <w:rFonts w:hint="eastAsia" w:ascii="宋体" w:hAnsi="宋体" w:cs="宋体"/>
                <w:kern w:val="0"/>
                <w:szCs w:val="21"/>
              </w:rPr>
              <w:t>所有专业课程教学资源在学校网络教学平台实现数字化和网络化；资源类型丰富，包含教学课件，案例、音视频、动画、微课、试题库、试卷库等；资源更新及时；应用效果好。</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ind w:firstLine="480"/>
              <w:rPr>
                <w:rFonts w:ascii="宋体" w:hAnsi="宋体"/>
                <w:szCs w:val="21"/>
              </w:rPr>
            </w:pPr>
          </w:p>
        </w:tc>
        <w:tc>
          <w:tcPr>
            <w:tcW w:w="851" w:type="dxa"/>
            <w:vMerge w:val="restart"/>
            <w:vAlign w:val="center"/>
          </w:tcPr>
          <w:p>
            <w:pPr>
              <w:spacing w:line="320" w:lineRule="exact"/>
              <w:jc w:val="center"/>
              <w:rPr>
                <w:rFonts w:ascii="宋体" w:hAnsi="宋体"/>
                <w:szCs w:val="21"/>
              </w:rPr>
            </w:pPr>
            <w:r>
              <w:rPr>
                <w:rFonts w:hint="eastAsia" w:ascii="宋体" w:hAnsi="宋体"/>
                <w:szCs w:val="21"/>
              </w:rPr>
              <w:t>3.2</w:t>
            </w:r>
          </w:p>
          <w:p>
            <w:pPr>
              <w:spacing w:line="320" w:lineRule="exact"/>
              <w:jc w:val="center"/>
              <w:rPr>
                <w:rFonts w:ascii="宋体" w:hAnsi="宋体"/>
                <w:szCs w:val="21"/>
              </w:rPr>
            </w:pPr>
            <w:r>
              <w:rPr>
                <w:rFonts w:hint="eastAsia" w:ascii="宋体" w:hAnsi="宋体"/>
                <w:szCs w:val="21"/>
              </w:rPr>
              <w:t>实践教学</w:t>
            </w:r>
          </w:p>
          <w:p>
            <w:pPr>
              <w:spacing w:line="320" w:lineRule="exact"/>
              <w:jc w:val="center"/>
              <w:rPr>
                <w:rFonts w:ascii="宋体" w:hAnsi="宋体"/>
                <w:spacing w:val="-12"/>
                <w:szCs w:val="21"/>
              </w:rPr>
            </w:pPr>
            <w:r>
              <w:rPr>
                <w:rFonts w:hint="eastAsia" w:ascii="宋体" w:hAnsi="宋体"/>
                <w:szCs w:val="21"/>
              </w:rPr>
              <w:t>(17分)</w:t>
            </w:r>
          </w:p>
        </w:tc>
        <w:tc>
          <w:tcPr>
            <w:tcW w:w="1416" w:type="dxa"/>
            <w:vAlign w:val="center"/>
          </w:tcPr>
          <w:p>
            <w:pPr>
              <w:spacing w:line="320" w:lineRule="exact"/>
              <w:rPr>
                <w:rFonts w:ascii="宋体" w:hAnsi="宋体"/>
                <w:szCs w:val="21"/>
              </w:rPr>
            </w:pPr>
            <w:r>
              <w:rPr>
                <w:rFonts w:hint="eastAsia" w:ascii="宋体" w:hAnsi="宋体"/>
                <w:szCs w:val="21"/>
              </w:rPr>
              <w:t>[11]实践教学内容与体系建设(5分)</w:t>
            </w:r>
          </w:p>
        </w:tc>
        <w:tc>
          <w:tcPr>
            <w:tcW w:w="3686" w:type="dxa"/>
            <w:vAlign w:val="center"/>
          </w:tcPr>
          <w:p>
            <w:pPr>
              <w:spacing w:line="320" w:lineRule="exact"/>
              <w:rPr>
                <w:rFonts w:ascii="宋体" w:hAnsi="宋体"/>
                <w:szCs w:val="21"/>
              </w:rPr>
            </w:pPr>
            <w:r>
              <w:rPr>
                <w:rFonts w:hint="eastAsia" w:ascii="宋体" w:hAnsi="宋体"/>
                <w:szCs w:val="21"/>
              </w:rPr>
              <w:t>注重加强实践教学一体化建设，体系设计合理，注重内容更新，重视虚拟仿真实验项目建设，实践教学有管理制度，成效显著。</w:t>
            </w:r>
          </w:p>
        </w:tc>
        <w:tc>
          <w:tcPr>
            <w:tcW w:w="1683" w:type="dxa"/>
            <w:vAlign w:val="center"/>
          </w:tcPr>
          <w:p>
            <w:pPr>
              <w:spacing w:line="320" w:lineRule="exact"/>
              <w:jc w:val="left"/>
              <w:rPr>
                <w:rFonts w:ascii="宋体" w:hAnsi="宋体"/>
                <w:szCs w:val="21"/>
              </w:rPr>
            </w:pPr>
            <w:r>
              <w:rPr>
                <w:rFonts w:hint="eastAsia" w:ascii="宋体" w:hAnsi="宋体"/>
                <w:szCs w:val="21"/>
              </w:rPr>
              <w:t>重在制度建设。</w:t>
            </w:r>
            <w:r>
              <w:rPr>
                <w:rFonts w:ascii="宋体" w:hAnsi="宋体"/>
                <w:szCs w:val="21"/>
              </w:rPr>
              <w:t xml:space="preserve">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741" w:type="dxa"/>
            <w:vMerge w:val="continue"/>
            <w:vAlign w:val="center"/>
          </w:tcPr>
          <w:p>
            <w:pPr>
              <w:spacing w:line="320" w:lineRule="exact"/>
              <w:ind w:firstLine="480"/>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[12]实验教学(4分)</w:t>
            </w:r>
          </w:p>
        </w:tc>
        <w:tc>
          <w:tcPr>
            <w:tcW w:w="3686" w:type="dxa"/>
            <w:vAlign w:val="center"/>
          </w:tcPr>
          <w:p>
            <w:pPr>
              <w:spacing w:line="320" w:lineRule="exact"/>
              <w:rPr>
                <w:rFonts w:ascii="宋体" w:hAnsi="宋体"/>
                <w:szCs w:val="21"/>
              </w:rPr>
            </w:pPr>
            <w:r>
              <w:rPr>
                <w:rFonts w:hint="eastAsia" w:ascii="宋体" w:hAnsi="宋体"/>
                <w:szCs w:val="21"/>
              </w:rPr>
              <w:t>实验室建设规范，有制度有落实。实验教学资料齐全，按计划执行；实验报告批阅认真；综合性设计性实验占实验学时总数的比例高，效果好。</w:t>
            </w:r>
          </w:p>
        </w:tc>
        <w:tc>
          <w:tcPr>
            <w:tcW w:w="1683" w:type="dxa"/>
            <w:vAlign w:val="center"/>
          </w:tcPr>
          <w:p>
            <w:pPr>
              <w:spacing w:line="320" w:lineRule="exact"/>
              <w:jc w:val="left"/>
              <w:rPr>
                <w:rFonts w:ascii="宋体" w:hAnsi="宋体"/>
                <w:szCs w:val="21"/>
              </w:rPr>
            </w:pPr>
            <w:r>
              <w:rPr>
                <w:rFonts w:hint="eastAsia" w:ascii="宋体" w:hAnsi="宋体"/>
                <w:szCs w:val="21"/>
              </w:rPr>
              <w:t>查阅实验教学资料、走访实验室。</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ind w:firstLine="480"/>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[13]实习与实训(4分)</w:t>
            </w:r>
          </w:p>
        </w:tc>
        <w:tc>
          <w:tcPr>
            <w:tcW w:w="3686" w:type="dxa"/>
            <w:vAlign w:val="center"/>
          </w:tcPr>
          <w:p>
            <w:pPr>
              <w:spacing w:line="320" w:lineRule="exact"/>
              <w:rPr>
                <w:rFonts w:ascii="宋体" w:hAnsi="宋体"/>
                <w:szCs w:val="21"/>
              </w:rPr>
            </w:pPr>
            <w:r>
              <w:rPr>
                <w:rFonts w:hint="eastAsia" w:ascii="宋体" w:hAnsi="宋体"/>
                <w:szCs w:val="21"/>
              </w:rPr>
              <w:t>实习与实训有严格的运行制度，大纲、报告等教学文件齐全，过程规范，成绩考核规范严格，实习效果好。</w:t>
            </w:r>
          </w:p>
        </w:tc>
        <w:tc>
          <w:tcPr>
            <w:tcW w:w="1683" w:type="dxa"/>
            <w:vAlign w:val="center"/>
          </w:tcPr>
          <w:p>
            <w:pPr>
              <w:spacing w:line="320" w:lineRule="exact"/>
              <w:jc w:val="left"/>
              <w:rPr>
                <w:rFonts w:ascii="宋体" w:hAnsi="宋体"/>
                <w:szCs w:val="21"/>
              </w:rPr>
            </w:pPr>
            <w:r>
              <w:rPr>
                <w:rFonts w:hint="eastAsia" w:ascii="宋体" w:hAnsi="宋体"/>
                <w:szCs w:val="21"/>
              </w:rPr>
              <w:t>查看实习实训报告。</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ind w:firstLine="480"/>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[14]毕业设计（论文）质量</w:t>
            </w:r>
          </w:p>
          <w:p>
            <w:pPr>
              <w:spacing w:line="320" w:lineRule="exact"/>
              <w:rPr>
                <w:rFonts w:ascii="宋体" w:hAnsi="宋体"/>
                <w:szCs w:val="21"/>
              </w:rPr>
            </w:pPr>
            <w:r>
              <w:rPr>
                <w:rFonts w:hint="eastAsia" w:ascii="宋体" w:hAnsi="宋体"/>
                <w:szCs w:val="21"/>
              </w:rPr>
              <w:t>(4分)</w:t>
            </w:r>
          </w:p>
        </w:tc>
        <w:tc>
          <w:tcPr>
            <w:tcW w:w="3686" w:type="dxa"/>
            <w:vAlign w:val="center"/>
          </w:tcPr>
          <w:p>
            <w:pPr>
              <w:spacing w:line="320" w:lineRule="exact"/>
              <w:rPr>
                <w:rFonts w:ascii="宋体" w:hAnsi="宋体" w:cs="宋体"/>
                <w:kern w:val="0"/>
                <w:szCs w:val="21"/>
              </w:rPr>
            </w:pPr>
            <w:r>
              <w:rPr>
                <w:rFonts w:hint="eastAsia" w:ascii="宋体" w:hAnsi="宋体" w:cs="宋体"/>
                <w:kern w:val="0"/>
                <w:szCs w:val="21"/>
              </w:rPr>
              <w:t>有提高毕业设计质量的措施，执行好；</w:t>
            </w:r>
          </w:p>
          <w:p>
            <w:pPr>
              <w:spacing w:line="320" w:lineRule="exact"/>
              <w:rPr>
                <w:rFonts w:ascii="宋体" w:hAnsi="宋体" w:cs="宋体"/>
                <w:kern w:val="0"/>
                <w:szCs w:val="21"/>
              </w:rPr>
            </w:pPr>
            <w:r>
              <w:rPr>
                <w:rFonts w:hint="eastAsia" w:ascii="宋体" w:hAnsi="宋体" w:cs="宋体"/>
                <w:kern w:val="0"/>
                <w:szCs w:val="21"/>
              </w:rPr>
              <w:t>选题科学、合理，结合社会经济需求，能够做到一人一题，且各不相同；存档材料齐全，严格遵照答辩程序，评分合理；指导教师均具有中级及以上职称或硕士学位。根据以上要求进行对比分析。</w:t>
            </w:r>
          </w:p>
        </w:tc>
        <w:tc>
          <w:tcPr>
            <w:tcW w:w="1683" w:type="dxa"/>
            <w:vAlign w:val="center"/>
          </w:tcPr>
          <w:p>
            <w:pPr>
              <w:spacing w:line="320" w:lineRule="exact"/>
              <w:jc w:val="left"/>
              <w:rPr>
                <w:rFonts w:ascii="宋体" w:hAnsi="宋体"/>
                <w:szCs w:val="21"/>
              </w:rPr>
            </w:pPr>
            <w:r>
              <w:rPr>
                <w:rFonts w:hint="eastAsia" w:ascii="宋体" w:hAnsi="宋体"/>
                <w:szCs w:val="21"/>
              </w:rPr>
              <w:t>重在制度建设、过程规范、执行严格、成效显著与持续改进。</w:t>
            </w:r>
          </w:p>
          <w:p>
            <w:pPr>
              <w:spacing w:line="320" w:lineRule="exact"/>
              <w:jc w:val="left"/>
              <w:rPr>
                <w:rFonts w:ascii="宋体" w:hAnsi="宋体"/>
                <w:szCs w:val="21"/>
              </w:rPr>
            </w:pPr>
            <w:r>
              <w:rPr>
                <w:rFonts w:hint="eastAsia" w:ascii="宋体" w:hAnsi="宋体"/>
                <w:szCs w:val="21"/>
              </w:rPr>
              <w:t>以查看毕业设计资料为主。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restart"/>
            <w:vAlign w:val="center"/>
          </w:tcPr>
          <w:p>
            <w:pPr>
              <w:spacing w:line="320" w:lineRule="exact"/>
              <w:jc w:val="center"/>
              <w:rPr>
                <w:rFonts w:ascii="宋体" w:hAnsi="宋体"/>
                <w:szCs w:val="21"/>
              </w:rPr>
            </w:pPr>
            <w:r>
              <w:rPr>
                <w:rFonts w:hint="eastAsia" w:ascii="宋体" w:hAnsi="宋体"/>
                <w:szCs w:val="21"/>
              </w:rPr>
              <w:t>4．</w:t>
            </w:r>
          </w:p>
          <w:p>
            <w:pPr>
              <w:spacing w:line="320" w:lineRule="exact"/>
              <w:jc w:val="center"/>
              <w:rPr>
                <w:rFonts w:ascii="宋体" w:hAnsi="宋体"/>
                <w:szCs w:val="21"/>
              </w:rPr>
            </w:pPr>
            <w:r>
              <w:rPr>
                <w:rFonts w:hint="eastAsia" w:ascii="宋体" w:hAnsi="宋体"/>
                <w:szCs w:val="21"/>
              </w:rPr>
              <w:t>教学管理</w:t>
            </w:r>
          </w:p>
          <w:p>
            <w:pPr>
              <w:spacing w:line="320" w:lineRule="exact"/>
              <w:jc w:val="center"/>
              <w:rPr>
                <w:rFonts w:ascii="宋体" w:hAnsi="宋体"/>
                <w:szCs w:val="21"/>
              </w:rPr>
            </w:pPr>
            <w:r>
              <w:rPr>
                <w:rFonts w:hint="eastAsia" w:ascii="宋体" w:hAnsi="宋体"/>
                <w:szCs w:val="21"/>
              </w:rPr>
              <w:t>(20分)</w:t>
            </w:r>
          </w:p>
        </w:tc>
        <w:tc>
          <w:tcPr>
            <w:tcW w:w="851" w:type="dxa"/>
            <w:vMerge w:val="restart"/>
            <w:vAlign w:val="center"/>
          </w:tcPr>
          <w:p>
            <w:pPr>
              <w:spacing w:line="320" w:lineRule="exact"/>
              <w:jc w:val="center"/>
              <w:rPr>
                <w:rFonts w:ascii="宋体" w:hAnsi="宋体"/>
                <w:szCs w:val="21"/>
              </w:rPr>
            </w:pPr>
            <w:r>
              <w:rPr>
                <w:rFonts w:hint="eastAsia" w:ascii="宋体" w:hAnsi="宋体"/>
                <w:szCs w:val="21"/>
              </w:rPr>
              <w:t>4.1</w:t>
            </w:r>
          </w:p>
          <w:p>
            <w:pPr>
              <w:spacing w:line="320" w:lineRule="exact"/>
              <w:jc w:val="center"/>
              <w:rPr>
                <w:rFonts w:ascii="宋体" w:hAnsi="宋体"/>
                <w:szCs w:val="21"/>
              </w:rPr>
            </w:pPr>
            <w:r>
              <w:rPr>
                <w:rFonts w:hint="eastAsia" w:ascii="宋体" w:hAnsi="宋体"/>
                <w:szCs w:val="21"/>
              </w:rPr>
              <w:t>专业事务管理</w:t>
            </w:r>
          </w:p>
          <w:p>
            <w:pPr>
              <w:spacing w:line="320" w:lineRule="exact"/>
              <w:jc w:val="center"/>
              <w:rPr>
                <w:rFonts w:ascii="宋体" w:hAnsi="宋体"/>
                <w:szCs w:val="21"/>
              </w:rPr>
            </w:pPr>
            <w:r>
              <w:rPr>
                <w:rFonts w:hint="eastAsia" w:ascii="宋体" w:hAnsi="宋体"/>
                <w:szCs w:val="21"/>
              </w:rPr>
              <w:t>(14分)</w:t>
            </w:r>
          </w:p>
        </w:tc>
        <w:tc>
          <w:tcPr>
            <w:tcW w:w="1416" w:type="dxa"/>
            <w:vAlign w:val="center"/>
          </w:tcPr>
          <w:p>
            <w:pPr>
              <w:spacing w:line="320" w:lineRule="exact"/>
              <w:ind w:left="-84" w:leftChars="-40" w:firstLine="73" w:firstLineChars="35"/>
              <w:rPr>
                <w:rFonts w:ascii="宋体" w:hAnsi="宋体"/>
                <w:szCs w:val="21"/>
              </w:rPr>
            </w:pPr>
            <w:r>
              <w:rPr>
                <w:rFonts w:hint="eastAsia" w:ascii="宋体" w:hAnsi="宋体"/>
                <w:kern w:val="0"/>
                <w:szCs w:val="21"/>
              </w:rPr>
              <w:t>[15]</w:t>
            </w:r>
            <w:r>
              <w:rPr>
                <w:rFonts w:hint="eastAsia" w:ascii="宋体" w:hAnsi="宋体"/>
                <w:szCs w:val="21"/>
              </w:rPr>
              <w:t>制度建设(4分)</w:t>
            </w:r>
          </w:p>
        </w:tc>
        <w:tc>
          <w:tcPr>
            <w:tcW w:w="3686" w:type="dxa"/>
            <w:vAlign w:val="center"/>
          </w:tcPr>
          <w:p>
            <w:pPr>
              <w:spacing w:line="320" w:lineRule="exact"/>
              <w:rPr>
                <w:rFonts w:ascii="宋体" w:hAnsi="宋体"/>
                <w:szCs w:val="21"/>
              </w:rPr>
            </w:pPr>
            <w:r>
              <w:rPr>
                <w:rFonts w:hint="eastAsia" w:ascii="宋体" w:hAnsi="宋体"/>
                <w:szCs w:val="21"/>
              </w:rPr>
              <w:t>在专业建设和运行管理方面有科学有效的规章制度，包括规范专业建设，规范系部管理、激励教师投入教学等方面。包括学院层面和专业层面的规章制度。</w:t>
            </w:r>
          </w:p>
        </w:tc>
        <w:tc>
          <w:tcPr>
            <w:tcW w:w="1683" w:type="dxa"/>
            <w:vAlign w:val="center"/>
          </w:tcPr>
          <w:p>
            <w:pPr>
              <w:spacing w:line="320" w:lineRule="exact"/>
              <w:jc w:val="left"/>
              <w:rPr>
                <w:rFonts w:ascii="宋体" w:hAnsi="宋体"/>
                <w:szCs w:val="21"/>
              </w:rPr>
            </w:pPr>
            <w:r>
              <w:rPr>
                <w:rFonts w:hint="eastAsia" w:ascii="宋体" w:hAnsi="宋体"/>
                <w:szCs w:val="21"/>
              </w:rPr>
              <w:t>查阅规章制度建设，注重规章制度的落实情况。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vAlign w:val="center"/>
          </w:tcPr>
          <w:p>
            <w:pPr>
              <w:spacing w:line="320" w:lineRule="exact"/>
              <w:jc w:val="center"/>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ind w:left="-84" w:leftChars="-40" w:firstLine="73" w:firstLineChars="35"/>
              <w:rPr>
                <w:rFonts w:ascii="宋体" w:hAnsi="宋体"/>
                <w:szCs w:val="21"/>
              </w:rPr>
            </w:pPr>
            <w:r>
              <w:rPr>
                <w:rFonts w:hint="eastAsia" w:ascii="宋体" w:hAnsi="宋体"/>
                <w:szCs w:val="21"/>
              </w:rPr>
              <w:t>[16]教学档案管理(4分)</w:t>
            </w:r>
          </w:p>
        </w:tc>
        <w:tc>
          <w:tcPr>
            <w:tcW w:w="3686" w:type="dxa"/>
            <w:vAlign w:val="center"/>
          </w:tcPr>
          <w:p>
            <w:pPr>
              <w:spacing w:line="320" w:lineRule="exact"/>
              <w:rPr>
                <w:rFonts w:ascii="宋体" w:hAnsi="宋体"/>
                <w:szCs w:val="21"/>
              </w:rPr>
            </w:pPr>
            <w:r>
              <w:rPr>
                <w:rFonts w:hint="eastAsia" w:ascii="宋体" w:hAnsi="宋体"/>
                <w:kern w:val="0"/>
                <w:szCs w:val="21"/>
              </w:rPr>
              <w:t>近三年教学安排表、试卷材料、毕业设计等资料存放完整、清楚、规范。</w:t>
            </w:r>
          </w:p>
        </w:tc>
        <w:tc>
          <w:tcPr>
            <w:tcW w:w="1683" w:type="dxa"/>
            <w:vAlign w:val="center"/>
          </w:tcPr>
          <w:p>
            <w:pPr>
              <w:spacing w:line="320" w:lineRule="exact"/>
              <w:jc w:val="left"/>
              <w:rPr>
                <w:rFonts w:ascii="宋体" w:hAnsi="宋体"/>
                <w:szCs w:val="21"/>
              </w:rPr>
            </w:pPr>
            <w:r>
              <w:rPr>
                <w:rFonts w:hint="eastAsia" w:ascii="宋体" w:hAnsi="宋体"/>
                <w:szCs w:val="21"/>
              </w:rPr>
              <w:t>查阅存档的规范性以及档案材料的正确性。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tcPr>
          <w:p>
            <w:pPr>
              <w:spacing w:line="320" w:lineRule="exact"/>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[17]质量监控(2分)</w:t>
            </w:r>
          </w:p>
        </w:tc>
        <w:tc>
          <w:tcPr>
            <w:tcW w:w="3686" w:type="dxa"/>
            <w:vAlign w:val="center"/>
          </w:tcPr>
          <w:p>
            <w:pPr>
              <w:spacing w:line="320" w:lineRule="exact"/>
              <w:rPr>
                <w:rFonts w:ascii="宋体" w:hAnsi="宋体"/>
                <w:szCs w:val="21"/>
              </w:rPr>
            </w:pPr>
            <w:r>
              <w:rPr>
                <w:rFonts w:hint="eastAsia" w:ascii="宋体" w:hAnsi="宋体"/>
                <w:szCs w:val="21"/>
              </w:rPr>
              <w:t>建立院级教学质量监控体系并严格实施，重视反馈和整改。学院听课工作领导小组有详实的听课计划；每年每人至少听课10次，并及时反馈。</w:t>
            </w:r>
          </w:p>
        </w:tc>
        <w:tc>
          <w:tcPr>
            <w:tcW w:w="1683" w:type="dxa"/>
            <w:vAlign w:val="center"/>
          </w:tcPr>
          <w:p>
            <w:pPr>
              <w:spacing w:line="320" w:lineRule="exact"/>
              <w:jc w:val="left"/>
              <w:rPr>
                <w:rFonts w:ascii="宋体" w:hAnsi="宋体"/>
                <w:szCs w:val="21"/>
              </w:rPr>
            </w:pPr>
            <w:r>
              <w:rPr>
                <w:rFonts w:hint="eastAsia" w:ascii="宋体" w:hAnsi="宋体"/>
                <w:szCs w:val="21"/>
              </w:rPr>
              <w:t>提供学院制度和听课记录</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tcPr>
          <w:p>
            <w:pPr>
              <w:spacing w:line="320" w:lineRule="exact"/>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ind w:left="-84" w:leftChars="-40" w:firstLine="73" w:firstLineChars="35"/>
              <w:rPr>
                <w:rFonts w:ascii="宋体" w:hAnsi="宋体"/>
                <w:szCs w:val="21"/>
              </w:rPr>
            </w:pPr>
            <w:r>
              <w:rPr>
                <w:rFonts w:hint="eastAsia" w:ascii="宋体" w:hAnsi="宋体"/>
                <w:kern w:val="0"/>
                <w:szCs w:val="21"/>
              </w:rPr>
              <w:t>[18]专业负责人制度</w:t>
            </w:r>
            <w:r>
              <w:rPr>
                <w:rFonts w:hint="eastAsia" w:ascii="宋体" w:hAnsi="宋体"/>
                <w:szCs w:val="21"/>
              </w:rPr>
              <w:t>(2分)</w:t>
            </w:r>
          </w:p>
        </w:tc>
        <w:tc>
          <w:tcPr>
            <w:tcW w:w="3686" w:type="dxa"/>
            <w:vAlign w:val="center"/>
          </w:tcPr>
          <w:p>
            <w:pPr>
              <w:spacing w:line="320" w:lineRule="exact"/>
              <w:rPr>
                <w:rFonts w:ascii="宋体" w:hAnsi="宋体"/>
                <w:szCs w:val="21"/>
              </w:rPr>
            </w:pPr>
            <w:r>
              <w:rPr>
                <w:rFonts w:hint="eastAsia" w:ascii="宋体" w:hAnsi="宋体"/>
                <w:szCs w:val="21"/>
              </w:rPr>
              <w:t>有明确的专业负责人，责任与权力清楚、统一，并发挥了专业负责人的作用。</w:t>
            </w:r>
          </w:p>
        </w:tc>
        <w:tc>
          <w:tcPr>
            <w:tcW w:w="1683" w:type="dxa"/>
            <w:vMerge w:val="restart"/>
            <w:vAlign w:val="center"/>
          </w:tcPr>
          <w:p>
            <w:pPr>
              <w:spacing w:line="320" w:lineRule="exact"/>
              <w:jc w:val="left"/>
              <w:rPr>
                <w:rFonts w:ascii="宋体" w:hAnsi="宋体"/>
                <w:szCs w:val="21"/>
              </w:rPr>
            </w:pPr>
            <w:r>
              <w:rPr>
                <w:rFonts w:hint="eastAsia" w:ascii="宋体" w:hAnsi="宋体"/>
                <w:szCs w:val="21"/>
              </w:rPr>
              <w:t>结合汇报与访谈和座谈会了解情况。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tcPr>
          <w:p>
            <w:pPr>
              <w:spacing w:line="320" w:lineRule="exact"/>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ind w:left="-84" w:leftChars="-40" w:firstLine="73" w:firstLineChars="35"/>
              <w:rPr>
                <w:rFonts w:ascii="宋体" w:hAnsi="宋体"/>
                <w:kern w:val="0"/>
                <w:szCs w:val="21"/>
              </w:rPr>
            </w:pPr>
            <w:r>
              <w:rPr>
                <w:rFonts w:hint="eastAsia" w:ascii="宋体" w:hAnsi="宋体"/>
                <w:kern w:val="0"/>
                <w:szCs w:val="21"/>
              </w:rPr>
              <w:t>[19]学生专业咨询机制</w:t>
            </w:r>
            <w:r>
              <w:rPr>
                <w:rFonts w:hint="eastAsia" w:ascii="宋体" w:hAnsi="宋体"/>
                <w:szCs w:val="21"/>
              </w:rPr>
              <w:t>(2分)</w:t>
            </w:r>
          </w:p>
        </w:tc>
        <w:tc>
          <w:tcPr>
            <w:tcW w:w="3686" w:type="dxa"/>
            <w:vAlign w:val="center"/>
          </w:tcPr>
          <w:p>
            <w:pPr>
              <w:spacing w:line="320" w:lineRule="exact"/>
              <w:rPr>
                <w:rFonts w:ascii="宋体" w:hAnsi="宋体"/>
                <w:szCs w:val="21"/>
              </w:rPr>
            </w:pPr>
            <w:r>
              <w:rPr>
                <w:rFonts w:hint="eastAsia" w:ascii="宋体" w:hAnsi="宋体"/>
                <w:szCs w:val="21"/>
              </w:rPr>
              <w:t>具有指导学生专业发展的有效机制。本科生导师制落实好，专人负责本科生专业咨询，效果好，受到学生欢迎。</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tcPr>
          <w:p>
            <w:pPr>
              <w:spacing w:line="320" w:lineRule="exact"/>
              <w:rPr>
                <w:rFonts w:ascii="宋体" w:hAnsi="宋体"/>
                <w:szCs w:val="21"/>
              </w:rPr>
            </w:pPr>
          </w:p>
        </w:tc>
        <w:tc>
          <w:tcPr>
            <w:tcW w:w="851" w:type="dxa"/>
            <w:vAlign w:val="center"/>
          </w:tcPr>
          <w:p>
            <w:pPr>
              <w:spacing w:line="320" w:lineRule="exact"/>
              <w:rPr>
                <w:rFonts w:ascii="宋体" w:hAnsi="宋体"/>
                <w:szCs w:val="21"/>
              </w:rPr>
            </w:pPr>
            <w:r>
              <w:rPr>
                <w:rFonts w:hint="eastAsia" w:ascii="宋体" w:hAnsi="宋体"/>
                <w:szCs w:val="21"/>
              </w:rPr>
              <w:t>4.2教风建设</w:t>
            </w:r>
          </w:p>
          <w:p>
            <w:pPr>
              <w:spacing w:line="320" w:lineRule="exact"/>
              <w:rPr>
                <w:rFonts w:ascii="宋体" w:hAnsi="宋体"/>
                <w:szCs w:val="21"/>
              </w:rPr>
            </w:pPr>
            <w:r>
              <w:rPr>
                <w:rFonts w:hint="eastAsia" w:ascii="宋体" w:hAnsi="宋体"/>
                <w:szCs w:val="21"/>
              </w:rPr>
              <w:t>(3分)</w:t>
            </w:r>
          </w:p>
        </w:tc>
        <w:tc>
          <w:tcPr>
            <w:tcW w:w="1416" w:type="dxa"/>
            <w:vAlign w:val="center"/>
          </w:tcPr>
          <w:p>
            <w:pPr>
              <w:spacing w:line="320" w:lineRule="exact"/>
              <w:ind w:left="-84" w:leftChars="-40" w:firstLine="73" w:firstLineChars="35"/>
              <w:rPr>
                <w:rFonts w:ascii="宋体" w:hAnsi="宋体"/>
                <w:szCs w:val="21"/>
              </w:rPr>
            </w:pPr>
            <w:r>
              <w:rPr>
                <w:rFonts w:hint="eastAsia" w:ascii="宋体" w:hAnsi="宋体"/>
                <w:szCs w:val="21"/>
              </w:rPr>
              <w:t>[20]师德修养和敬业精神(3分)</w:t>
            </w:r>
          </w:p>
        </w:tc>
        <w:tc>
          <w:tcPr>
            <w:tcW w:w="3686" w:type="dxa"/>
            <w:vAlign w:val="center"/>
          </w:tcPr>
          <w:p>
            <w:pPr>
              <w:spacing w:line="320" w:lineRule="exact"/>
              <w:rPr>
                <w:rFonts w:ascii="宋体" w:hAnsi="宋体"/>
                <w:szCs w:val="21"/>
              </w:rPr>
            </w:pPr>
            <w:r>
              <w:rPr>
                <w:rFonts w:hint="eastAsia" w:ascii="宋体" w:hAnsi="宋体"/>
                <w:szCs w:val="21"/>
              </w:rPr>
              <w:t>有师德师风建设制度。教师素质高，有良好的团队精神，教师严谨治学，从严执教，教书育人，无教学事故，教学质量高。有师德师风团队及个人典型。</w:t>
            </w:r>
          </w:p>
        </w:tc>
        <w:tc>
          <w:tcPr>
            <w:tcW w:w="1683" w:type="dxa"/>
            <w:vMerge w:val="restart"/>
            <w:vAlign w:val="center"/>
          </w:tcPr>
          <w:p>
            <w:pPr>
              <w:spacing w:line="320" w:lineRule="exact"/>
              <w:jc w:val="left"/>
              <w:rPr>
                <w:rFonts w:ascii="宋体" w:hAnsi="宋体"/>
                <w:szCs w:val="21"/>
              </w:rPr>
            </w:pPr>
            <w:r>
              <w:rPr>
                <w:rFonts w:hint="eastAsia" w:ascii="宋体" w:hAnsi="宋体"/>
                <w:szCs w:val="21"/>
              </w:rPr>
              <w:t>提供支撑材料。</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vMerge w:val="continue"/>
          </w:tcPr>
          <w:p>
            <w:pPr>
              <w:spacing w:line="320" w:lineRule="exact"/>
              <w:rPr>
                <w:rFonts w:ascii="宋体" w:hAnsi="宋体"/>
                <w:szCs w:val="21"/>
              </w:rPr>
            </w:pPr>
          </w:p>
        </w:tc>
        <w:tc>
          <w:tcPr>
            <w:tcW w:w="851" w:type="dxa"/>
            <w:vAlign w:val="center"/>
          </w:tcPr>
          <w:p>
            <w:pPr>
              <w:spacing w:line="320" w:lineRule="exact"/>
              <w:rPr>
                <w:rFonts w:ascii="宋体" w:hAnsi="宋体"/>
                <w:szCs w:val="21"/>
              </w:rPr>
            </w:pPr>
            <w:r>
              <w:rPr>
                <w:rFonts w:hint="eastAsia" w:ascii="宋体" w:hAnsi="宋体"/>
                <w:szCs w:val="21"/>
              </w:rPr>
              <w:t>4.3学风建设</w:t>
            </w:r>
          </w:p>
          <w:p>
            <w:pPr>
              <w:spacing w:line="320" w:lineRule="exact"/>
              <w:rPr>
                <w:rFonts w:ascii="宋体" w:hAnsi="宋体"/>
                <w:szCs w:val="21"/>
              </w:rPr>
            </w:pPr>
            <w:r>
              <w:rPr>
                <w:rFonts w:hint="eastAsia" w:ascii="宋体" w:hAnsi="宋体"/>
                <w:szCs w:val="21"/>
              </w:rPr>
              <w:t>(3分)</w:t>
            </w:r>
          </w:p>
        </w:tc>
        <w:tc>
          <w:tcPr>
            <w:tcW w:w="1416" w:type="dxa"/>
            <w:vAlign w:val="center"/>
          </w:tcPr>
          <w:p>
            <w:pPr>
              <w:spacing w:line="320" w:lineRule="exact"/>
              <w:ind w:left="-84" w:leftChars="-40" w:firstLine="73" w:firstLineChars="35"/>
              <w:rPr>
                <w:rFonts w:ascii="宋体" w:hAnsi="宋体"/>
                <w:szCs w:val="21"/>
              </w:rPr>
            </w:pPr>
            <w:r>
              <w:rPr>
                <w:rFonts w:hint="eastAsia" w:ascii="宋体" w:hAnsi="宋体"/>
                <w:szCs w:val="21"/>
              </w:rPr>
              <w:t>[21]学习风气与遵纪情况(3分)</w:t>
            </w:r>
          </w:p>
        </w:tc>
        <w:tc>
          <w:tcPr>
            <w:tcW w:w="3686" w:type="dxa"/>
            <w:vAlign w:val="center"/>
          </w:tcPr>
          <w:p>
            <w:pPr>
              <w:spacing w:line="320" w:lineRule="exact"/>
              <w:rPr>
                <w:rFonts w:ascii="宋体" w:hAnsi="宋体"/>
                <w:szCs w:val="21"/>
              </w:rPr>
            </w:pPr>
            <w:r>
              <w:rPr>
                <w:rFonts w:hint="eastAsia" w:ascii="宋体" w:hAnsi="宋体"/>
                <w:szCs w:val="21"/>
              </w:rPr>
              <w:t>学风建设工作体系完善，措施得力，学生遵守校纪校规，课外活动丰富，效果好，学风建设成效显著。</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41" w:type="dxa"/>
          </w:tcPr>
          <w:p>
            <w:pPr>
              <w:spacing w:line="320" w:lineRule="exact"/>
              <w:rPr>
                <w:rFonts w:ascii="宋体" w:hAnsi="宋体"/>
                <w:szCs w:val="21"/>
              </w:rPr>
            </w:pPr>
            <w:r>
              <w:rPr>
                <w:rFonts w:hint="eastAsia" w:ascii="宋体" w:hAnsi="宋体"/>
                <w:szCs w:val="21"/>
              </w:rPr>
              <w:t>5.专业特色</w:t>
            </w:r>
          </w:p>
          <w:p>
            <w:pPr>
              <w:spacing w:line="320" w:lineRule="exact"/>
              <w:rPr>
                <w:rFonts w:ascii="宋体" w:hAnsi="宋体"/>
                <w:szCs w:val="21"/>
              </w:rPr>
            </w:pPr>
            <w:r>
              <w:rPr>
                <w:rFonts w:hint="eastAsia" w:ascii="宋体" w:hAnsi="宋体"/>
                <w:szCs w:val="21"/>
              </w:rPr>
              <w:t>(6分)</w:t>
            </w:r>
          </w:p>
        </w:tc>
        <w:tc>
          <w:tcPr>
            <w:tcW w:w="851" w:type="dxa"/>
            <w:vAlign w:val="center"/>
          </w:tcPr>
          <w:p>
            <w:pPr>
              <w:spacing w:line="320" w:lineRule="exact"/>
              <w:jc w:val="center"/>
              <w:rPr>
                <w:rFonts w:ascii="宋体" w:hAnsi="宋体"/>
                <w:szCs w:val="21"/>
              </w:rPr>
            </w:pPr>
            <w:r>
              <w:rPr>
                <w:rFonts w:hint="eastAsia" w:ascii="宋体" w:hAnsi="宋体"/>
                <w:szCs w:val="21"/>
              </w:rPr>
              <w:t>5.1</w:t>
            </w:r>
          </w:p>
          <w:p>
            <w:pPr>
              <w:spacing w:line="320" w:lineRule="exact"/>
              <w:jc w:val="center"/>
              <w:rPr>
                <w:rFonts w:ascii="宋体" w:hAnsi="宋体"/>
                <w:szCs w:val="21"/>
              </w:rPr>
            </w:pPr>
            <w:r>
              <w:rPr>
                <w:rFonts w:hint="eastAsia" w:ascii="宋体" w:hAnsi="宋体"/>
                <w:szCs w:val="21"/>
              </w:rPr>
              <w:t>专业特色</w:t>
            </w:r>
          </w:p>
          <w:p>
            <w:pPr>
              <w:spacing w:line="320" w:lineRule="exact"/>
              <w:jc w:val="center"/>
              <w:rPr>
                <w:rFonts w:ascii="宋体" w:hAnsi="宋体"/>
                <w:szCs w:val="21"/>
              </w:rPr>
            </w:pPr>
            <w:r>
              <w:rPr>
                <w:rFonts w:hint="eastAsia" w:ascii="宋体" w:hAnsi="宋体"/>
                <w:szCs w:val="21"/>
              </w:rPr>
              <w:t>(6分)</w:t>
            </w:r>
          </w:p>
        </w:tc>
        <w:tc>
          <w:tcPr>
            <w:tcW w:w="1416" w:type="dxa"/>
            <w:vAlign w:val="center"/>
          </w:tcPr>
          <w:p>
            <w:pPr>
              <w:spacing w:line="320" w:lineRule="exact"/>
              <w:ind w:left="-84" w:leftChars="-40" w:firstLine="73" w:firstLineChars="35"/>
              <w:rPr>
                <w:rFonts w:ascii="宋体" w:hAnsi="宋体"/>
                <w:szCs w:val="21"/>
              </w:rPr>
            </w:pPr>
            <w:r>
              <w:rPr>
                <w:rFonts w:hint="eastAsia" w:ascii="宋体" w:hAnsi="宋体"/>
                <w:kern w:val="0"/>
                <w:szCs w:val="21"/>
              </w:rPr>
              <w:t>[22]</w:t>
            </w:r>
            <w:r>
              <w:rPr>
                <w:rFonts w:hint="eastAsia" w:ascii="宋体" w:hAnsi="宋体"/>
                <w:szCs w:val="21"/>
              </w:rPr>
              <w:t>专业特色(6分)</w:t>
            </w:r>
          </w:p>
        </w:tc>
        <w:tc>
          <w:tcPr>
            <w:tcW w:w="3686" w:type="dxa"/>
            <w:vAlign w:val="center"/>
          </w:tcPr>
          <w:p>
            <w:pPr>
              <w:spacing w:line="320" w:lineRule="exact"/>
              <w:rPr>
                <w:rFonts w:ascii="宋体" w:hAnsi="宋体"/>
                <w:szCs w:val="21"/>
              </w:rPr>
            </w:pPr>
            <w:r>
              <w:rPr>
                <w:rFonts w:hint="eastAsia" w:ascii="宋体" w:hAnsi="宋体"/>
                <w:szCs w:val="21"/>
              </w:rPr>
              <w:t>本专业在办学方面有成功的经验做法和措施，取得了一定成效。专业特色凝练准确，有数据或者案例能够充分证明该特色。</w:t>
            </w:r>
          </w:p>
        </w:tc>
        <w:tc>
          <w:tcPr>
            <w:tcW w:w="1683" w:type="dxa"/>
            <w:vMerge w:val="restart"/>
            <w:vAlign w:val="center"/>
          </w:tcPr>
          <w:p>
            <w:pPr>
              <w:spacing w:line="320" w:lineRule="exact"/>
              <w:jc w:val="left"/>
              <w:rPr>
                <w:rFonts w:ascii="宋体" w:hAnsi="宋体"/>
                <w:szCs w:val="21"/>
              </w:rPr>
            </w:pPr>
            <w:r>
              <w:rPr>
                <w:rFonts w:hint="eastAsia" w:ascii="宋体" w:hAnsi="宋体"/>
                <w:szCs w:val="21"/>
              </w:rPr>
              <w:t>自评报告和专业负责人汇报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1" w:type="dxa"/>
            <w:vMerge w:val="restart"/>
          </w:tcPr>
          <w:p>
            <w:pPr>
              <w:spacing w:line="320" w:lineRule="exact"/>
              <w:rPr>
                <w:rFonts w:ascii="宋体" w:hAnsi="宋体"/>
                <w:szCs w:val="21"/>
              </w:rPr>
            </w:pPr>
            <w:r>
              <w:rPr>
                <w:rFonts w:hint="eastAsia" w:ascii="宋体" w:hAnsi="宋体"/>
                <w:szCs w:val="21"/>
              </w:rPr>
              <w:t>6.问题及措施</w:t>
            </w:r>
          </w:p>
          <w:p>
            <w:pPr>
              <w:spacing w:line="320" w:lineRule="exact"/>
              <w:rPr>
                <w:rFonts w:ascii="宋体" w:hAnsi="宋体"/>
                <w:szCs w:val="21"/>
              </w:rPr>
            </w:pPr>
            <w:r>
              <w:rPr>
                <w:rFonts w:hint="eastAsia" w:ascii="宋体" w:hAnsi="宋体"/>
                <w:szCs w:val="21"/>
              </w:rPr>
              <w:t>(9分)</w:t>
            </w:r>
          </w:p>
        </w:tc>
        <w:tc>
          <w:tcPr>
            <w:tcW w:w="851" w:type="dxa"/>
            <w:vMerge w:val="restart"/>
            <w:vAlign w:val="center"/>
          </w:tcPr>
          <w:p>
            <w:pPr>
              <w:spacing w:line="320" w:lineRule="exact"/>
              <w:jc w:val="center"/>
              <w:rPr>
                <w:rFonts w:ascii="宋体" w:hAnsi="宋体"/>
                <w:szCs w:val="21"/>
              </w:rPr>
            </w:pPr>
            <w:r>
              <w:rPr>
                <w:rFonts w:hint="eastAsia" w:ascii="宋体" w:hAnsi="宋体"/>
                <w:szCs w:val="21"/>
              </w:rPr>
              <w:t>6.1</w:t>
            </w:r>
          </w:p>
          <w:p>
            <w:pPr>
              <w:spacing w:line="320" w:lineRule="exact"/>
              <w:jc w:val="center"/>
              <w:rPr>
                <w:rFonts w:ascii="宋体" w:hAnsi="宋体"/>
                <w:szCs w:val="21"/>
              </w:rPr>
            </w:pPr>
            <w:r>
              <w:rPr>
                <w:rFonts w:hint="eastAsia" w:ascii="宋体" w:hAnsi="宋体"/>
                <w:szCs w:val="21"/>
              </w:rPr>
              <w:t>问题及措施</w:t>
            </w:r>
          </w:p>
          <w:p>
            <w:pPr>
              <w:spacing w:line="320" w:lineRule="exact"/>
              <w:jc w:val="center"/>
              <w:rPr>
                <w:rFonts w:ascii="宋体" w:hAnsi="宋体"/>
                <w:szCs w:val="21"/>
              </w:rPr>
            </w:pPr>
            <w:r>
              <w:rPr>
                <w:rFonts w:hint="eastAsia" w:ascii="宋体" w:hAnsi="宋体"/>
                <w:szCs w:val="21"/>
              </w:rPr>
              <w:t>(9分)</w:t>
            </w:r>
          </w:p>
        </w:tc>
        <w:tc>
          <w:tcPr>
            <w:tcW w:w="1416" w:type="dxa"/>
            <w:vAlign w:val="center"/>
          </w:tcPr>
          <w:p>
            <w:pPr>
              <w:spacing w:line="320" w:lineRule="exact"/>
              <w:rPr>
                <w:rFonts w:ascii="宋体" w:hAnsi="宋体"/>
                <w:szCs w:val="21"/>
              </w:rPr>
            </w:pPr>
            <w:r>
              <w:rPr>
                <w:rFonts w:hint="eastAsia" w:ascii="宋体" w:hAnsi="宋体"/>
                <w:szCs w:val="21"/>
              </w:rPr>
              <w:t>[23]存在的问题(5分)</w:t>
            </w:r>
          </w:p>
        </w:tc>
        <w:tc>
          <w:tcPr>
            <w:tcW w:w="3686" w:type="dxa"/>
            <w:vAlign w:val="center"/>
          </w:tcPr>
          <w:p>
            <w:pPr>
              <w:spacing w:line="320" w:lineRule="exact"/>
              <w:rPr>
                <w:rFonts w:ascii="宋体" w:hAnsi="宋体"/>
                <w:szCs w:val="21"/>
              </w:rPr>
            </w:pPr>
            <w:r>
              <w:rPr>
                <w:rFonts w:hint="eastAsia" w:ascii="宋体" w:hAnsi="宋体"/>
                <w:szCs w:val="21"/>
              </w:rPr>
              <w:t>能够准确找到制约专业建设的主要问题及形成这些问题的根源。</w:t>
            </w:r>
          </w:p>
        </w:tc>
        <w:tc>
          <w:tcPr>
            <w:tcW w:w="1683" w:type="dxa"/>
            <w:vMerge w:val="continue"/>
            <w:vAlign w:val="center"/>
          </w:tcPr>
          <w:p>
            <w:pPr>
              <w:spacing w:line="320" w:lineRule="exact"/>
              <w:jc w:val="left"/>
              <w:rPr>
                <w:rFonts w:ascii="宋体" w:hAnsi="宋体"/>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741" w:type="dxa"/>
            <w:vMerge w:val="continue"/>
          </w:tcPr>
          <w:p>
            <w:pPr>
              <w:spacing w:line="320" w:lineRule="exact"/>
              <w:rPr>
                <w:rFonts w:ascii="宋体" w:hAnsi="宋体"/>
                <w:szCs w:val="21"/>
              </w:rPr>
            </w:pPr>
          </w:p>
        </w:tc>
        <w:tc>
          <w:tcPr>
            <w:tcW w:w="851" w:type="dxa"/>
            <w:vMerge w:val="continue"/>
            <w:vAlign w:val="center"/>
          </w:tcPr>
          <w:p>
            <w:pPr>
              <w:spacing w:line="320" w:lineRule="exact"/>
              <w:rPr>
                <w:rFonts w:ascii="宋体" w:hAnsi="宋体"/>
                <w:szCs w:val="21"/>
              </w:rPr>
            </w:pPr>
          </w:p>
        </w:tc>
        <w:tc>
          <w:tcPr>
            <w:tcW w:w="1416" w:type="dxa"/>
            <w:vAlign w:val="center"/>
          </w:tcPr>
          <w:p>
            <w:pPr>
              <w:spacing w:line="320" w:lineRule="exact"/>
              <w:rPr>
                <w:rFonts w:ascii="宋体" w:hAnsi="宋体"/>
                <w:szCs w:val="21"/>
              </w:rPr>
            </w:pPr>
            <w:r>
              <w:rPr>
                <w:rFonts w:hint="eastAsia" w:ascii="宋体" w:hAnsi="宋体"/>
                <w:szCs w:val="21"/>
              </w:rPr>
              <w:t>[24]主要措施(4分)</w:t>
            </w:r>
          </w:p>
        </w:tc>
        <w:tc>
          <w:tcPr>
            <w:tcW w:w="3686" w:type="dxa"/>
            <w:vAlign w:val="center"/>
          </w:tcPr>
          <w:p>
            <w:pPr>
              <w:spacing w:line="320" w:lineRule="exact"/>
              <w:rPr>
                <w:rFonts w:ascii="宋体" w:hAnsi="宋体"/>
                <w:szCs w:val="21"/>
              </w:rPr>
            </w:pPr>
            <w:r>
              <w:rPr>
                <w:rFonts w:hint="eastAsia" w:ascii="宋体" w:hAnsi="宋体"/>
                <w:szCs w:val="21"/>
              </w:rPr>
              <w:t>针对存在的主要问题采取了哪些措施，取得的成效体现在哪里，今后三至五年主要从哪些方面进行改进。反映出持续改进机制的落实。</w:t>
            </w:r>
          </w:p>
        </w:tc>
        <w:tc>
          <w:tcPr>
            <w:tcW w:w="1683" w:type="dxa"/>
            <w:vMerge w:val="continue"/>
            <w:vAlign w:val="center"/>
          </w:tcPr>
          <w:p>
            <w:pPr>
              <w:spacing w:line="320" w:lineRule="exact"/>
              <w:jc w:val="left"/>
              <w:rPr>
                <w:rFonts w:ascii="宋体" w:hAnsi="宋体"/>
                <w:szCs w:val="21"/>
              </w:rPr>
            </w:pPr>
          </w:p>
        </w:tc>
      </w:tr>
    </w:tbl>
    <w:p>
      <w:pPr>
        <w:autoSpaceDE w:val="0"/>
        <w:autoSpaceDN w:val="0"/>
        <w:adjustRightInd w:val="0"/>
        <w:spacing w:line="320" w:lineRule="exact"/>
        <w:jc w:val="left"/>
        <w:rPr>
          <w:rFonts w:ascii="宋体" w:hAnsi="宋体"/>
          <w:sz w:val="28"/>
          <w:szCs w:val="28"/>
        </w:rPr>
      </w:pPr>
    </w:p>
    <w:sectPr>
      <w:footerReference r:id="rId3" w:type="default"/>
      <w:footerReference r:id="rId4" w:type="even"/>
      <w:pgSz w:w="11906" w:h="16838"/>
      <w:pgMar w:top="1440" w:right="1418"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p>
    <w:pPr>
      <w:pStyle w:val="5"/>
      <w:framePr w:wrap="around" w:vAnchor="text" w:hAnchor="margin" w:xAlign="right" w:y="1"/>
      <w:rPr>
        <w:rStyle w:val="14"/>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2103"/>
    <w:rsid w:val="00001858"/>
    <w:rsid w:val="00005DB5"/>
    <w:rsid w:val="00012E1B"/>
    <w:rsid w:val="0002183E"/>
    <w:rsid w:val="00022160"/>
    <w:rsid w:val="00025181"/>
    <w:rsid w:val="000253D9"/>
    <w:rsid w:val="00025487"/>
    <w:rsid w:val="0002701F"/>
    <w:rsid w:val="000357E7"/>
    <w:rsid w:val="0004430E"/>
    <w:rsid w:val="000444DF"/>
    <w:rsid w:val="000452F3"/>
    <w:rsid w:val="00050CD2"/>
    <w:rsid w:val="0006304A"/>
    <w:rsid w:val="00066401"/>
    <w:rsid w:val="00072B68"/>
    <w:rsid w:val="00083B42"/>
    <w:rsid w:val="0008459E"/>
    <w:rsid w:val="0008494C"/>
    <w:rsid w:val="00087B4E"/>
    <w:rsid w:val="0009138D"/>
    <w:rsid w:val="00091CF3"/>
    <w:rsid w:val="00095369"/>
    <w:rsid w:val="00096247"/>
    <w:rsid w:val="00096A4C"/>
    <w:rsid w:val="000A2C3E"/>
    <w:rsid w:val="000B3054"/>
    <w:rsid w:val="000B45B6"/>
    <w:rsid w:val="000B6934"/>
    <w:rsid w:val="000C3A47"/>
    <w:rsid w:val="000C5969"/>
    <w:rsid w:val="000C7678"/>
    <w:rsid w:val="000D0420"/>
    <w:rsid w:val="000D0C30"/>
    <w:rsid w:val="000D0E8F"/>
    <w:rsid w:val="000D2549"/>
    <w:rsid w:val="000D2554"/>
    <w:rsid w:val="000D35CE"/>
    <w:rsid w:val="000D450D"/>
    <w:rsid w:val="000D51A6"/>
    <w:rsid w:val="000E1505"/>
    <w:rsid w:val="000E3453"/>
    <w:rsid w:val="000E5060"/>
    <w:rsid w:val="000E6BB7"/>
    <w:rsid w:val="000F3381"/>
    <w:rsid w:val="000F3DCA"/>
    <w:rsid w:val="000F56E6"/>
    <w:rsid w:val="000F6725"/>
    <w:rsid w:val="000F719A"/>
    <w:rsid w:val="000F7ED8"/>
    <w:rsid w:val="001002EA"/>
    <w:rsid w:val="0010041B"/>
    <w:rsid w:val="001008A5"/>
    <w:rsid w:val="00100E09"/>
    <w:rsid w:val="00103081"/>
    <w:rsid w:val="00103A69"/>
    <w:rsid w:val="001125B1"/>
    <w:rsid w:val="001137EE"/>
    <w:rsid w:val="00113D51"/>
    <w:rsid w:val="00120912"/>
    <w:rsid w:val="0012610F"/>
    <w:rsid w:val="001265EE"/>
    <w:rsid w:val="00127B18"/>
    <w:rsid w:val="00131A47"/>
    <w:rsid w:val="00133423"/>
    <w:rsid w:val="001415BC"/>
    <w:rsid w:val="00141FEF"/>
    <w:rsid w:val="0014506B"/>
    <w:rsid w:val="00146360"/>
    <w:rsid w:val="001470C2"/>
    <w:rsid w:val="00150F0D"/>
    <w:rsid w:val="001512D7"/>
    <w:rsid w:val="00151C40"/>
    <w:rsid w:val="00152EA3"/>
    <w:rsid w:val="00153596"/>
    <w:rsid w:val="00162AFF"/>
    <w:rsid w:val="0016775D"/>
    <w:rsid w:val="001716DD"/>
    <w:rsid w:val="0017183E"/>
    <w:rsid w:val="00174759"/>
    <w:rsid w:val="00176825"/>
    <w:rsid w:val="001810CF"/>
    <w:rsid w:val="0018127C"/>
    <w:rsid w:val="001836C8"/>
    <w:rsid w:val="00185B5B"/>
    <w:rsid w:val="00185FAD"/>
    <w:rsid w:val="00186C43"/>
    <w:rsid w:val="0019001E"/>
    <w:rsid w:val="001901F3"/>
    <w:rsid w:val="00190FB5"/>
    <w:rsid w:val="0019168B"/>
    <w:rsid w:val="00192CD1"/>
    <w:rsid w:val="001944A5"/>
    <w:rsid w:val="001969BE"/>
    <w:rsid w:val="001A078F"/>
    <w:rsid w:val="001A0C7F"/>
    <w:rsid w:val="001A4761"/>
    <w:rsid w:val="001A6B91"/>
    <w:rsid w:val="001B11BF"/>
    <w:rsid w:val="001B553B"/>
    <w:rsid w:val="001C30F9"/>
    <w:rsid w:val="001C4574"/>
    <w:rsid w:val="001C5F06"/>
    <w:rsid w:val="001C623A"/>
    <w:rsid w:val="001C63B1"/>
    <w:rsid w:val="001D0609"/>
    <w:rsid w:val="001D14F8"/>
    <w:rsid w:val="001E0ED5"/>
    <w:rsid w:val="001E2586"/>
    <w:rsid w:val="001E4D44"/>
    <w:rsid w:val="001F31D9"/>
    <w:rsid w:val="001F665C"/>
    <w:rsid w:val="001F7B2C"/>
    <w:rsid w:val="00203320"/>
    <w:rsid w:val="00205606"/>
    <w:rsid w:val="00205CFB"/>
    <w:rsid w:val="0020784E"/>
    <w:rsid w:val="002110E1"/>
    <w:rsid w:val="0021491A"/>
    <w:rsid w:val="00214F91"/>
    <w:rsid w:val="00216D7E"/>
    <w:rsid w:val="00216EA1"/>
    <w:rsid w:val="0022401D"/>
    <w:rsid w:val="002343AB"/>
    <w:rsid w:val="00234B9D"/>
    <w:rsid w:val="002379A0"/>
    <w:rsid w:val="00240EAA"/>
    <w:rsid w:val="002413ED"/>
    <w:rsid w:val="00245485"/>
    <w:rsid w:val="00246B55"/>
    <w:rsid w:val="00246C52"/>
    <w:rsid w:val="002507CC"/>
    <w:rsid w:val="00250A69"/>
    <w:rsid w:val="002512B8"/>
    <w:rsid w:val="00253C46"/>
    <w:rsid w:val="002567BD"/>
    <w:rsid w:val="00256A90"/>
    <w:rsid w:val="00256D83"/>
    <w:rsid w:val="00261103"/>
    <w:rsid w:val="00262DC7"/>
    <w:rsid w:val="002635FF"/>
    <w:rsid w:val="00267A56"/>
    <w:rsid w:val="00280300"/>
    <w:rsid w:val="0028495F"/>
    <w:rsid w:val="00286C5E"/>
    <w:rsid w:val="00290E0B"/>
    <w:rsid w:val="0029157C"/>
    <w:rsid w:val="00291CD7"/>
    <w:rsid w:val="00292103"/>
    <w:rsid w:val="00293FB4"/>
    <w:rsid w:val="00297AD3"/>
    <w:rsid w:val="002A03B6"/>
    <w:rsid w:val="002A1369"/>
    <w:rsid w:val="002B0F90"/>
    <w:rsid w:val="002B15E0"/>
    <w:rsid w:val="002B1A26"/>
    <w:rsid w:val="002B1E62"/>
    <w:rsid w:val="002B2602"/>
    <w:rsid w:val="002B4AB0"/>
    <w:rsid w:val="002B7B87"/>
    <w:rsid w:val="002D5BF9"/>
    <w:rsid w:val="002D61FA"/>
    <w:rsid w:val="002E079D"/>
    <w:rsid w:val="002E23A3"/>
    <w:rsid w:val="002E2526"/>
    <w:rsid w:val="002E3288"/>
    <w:rsid w:val="002E4A87"/>
    <w:rsid w:val="002E4C98"/>
    <w:rsid w:val="002F2C01"/>
    <w:rsid w:val="002F3A2D"/>
    <w:rsid w:val="002F5C25"/>
    <w:rsid w:val="002F70FF"/>
    <w:rsid w:val="00300237"/>
    <w:rsid w:val="00300330"/>
    <w:rsid w:val="00302918"/>
    <w:rsid w:val="00312C96"/>
    <w:rsid w:val="00315B5B"/>
    <w:rsid w:val="00316B2B"/>
    <w:rsid w:val="00320B1A"/>
    <w:rsid w:val="0032125F"/>
    <w:rsid w:val="003213C4"/>
    <w:rsid w:val="00323169"/>
    <w:rsid w:val="003242A0"/>
    <w:rsid w:val="0033085E"/>
    <w:rsid w:val="00331707"/>
    <w:rsid w:val="00332507"/>
    <w:rsid w:val="00332751"/>
    <w:rsid w:val="003436A2"/>
    <w:rsid w:val="00343B76"/>
    <w:rsid w:val="00344600"/>
    <w:rsid w:val="00344CCF"/>
    <w:rsid w:val="00346DD9"/>
    <w:rsid w:val="0035013E"/>
    <w:rsid w:val="003514DB"/>
    <w:rsid w:val="00354397"/>
    <w:rsid w:val="00354DFB"/>
    <w:rsid w:val="00357FC1"/>
    <w:rsid w:val="00360218"/>
    <w:rsid w:val="00362AFC"/>
    <w:rsid w:val="003708B1"/>
    <w:rsid w:val="00373481"/>
    <w:rsid w:val="00373E6D"/>
    <w:rsid w:val="00374251"/>
    <w:rsid w:val="003753EA"/>
    <w:rsid w:val="00375766"/>
    <w:rsid w:val="003776D5"/>
    <w:rsid w:val="00377BD2"/>
    <w:rsid w:val="0038099A"/>
    <w:rsid w:val="00382875"/>
    <w:rsid w:val="00384627"/>
    <w:rsid w:val="00384972"/>
    <w:rsid w:val="00387516"/>
    <w:rsid w:val="00390D9F"/>
    <w:rsid w:val="003966BE"/>
    <w:rsid w:val="00397218"/>
    <w:rsid w:val="003A0002"/>
    <w:rsid w:val="003A2605"/>
    <w:rsid w:val="003A342C"/>
    <w:rsid w:val="003A5750"/>
    <w:rsid w:val="003B4525"/>
    <w:rsid w:val="003B66FA"/>
    <w:rsid w:val="003B68DD"/>
    <w:rsid w:val="003B7A02"/>
    <w:rsid w:val="003C100D"/>
    <w:rsid w:val="003C2A35"/>
    <w:rsid w:val="003C3E32"/>
    <w:rsid w:val="003C5904"/>
    <w:rsid w:val="003C5AC4"/>
    <w:rsid w:val="003D0929"/>
    <w:rsid w:val="003D15FD"/>
    <w:rsid w:val="003D2AC1"/>
    <w:rsid w:val="003D3D26"/>
    <w:rsid w:val="003D4364"/>
    <w:rsid w:val="003D444C"/>
    <w:rsid w:val="003E132D"/>
    <w:rsid w:val="003E1FD9"/>
    <w:rsid w:val="003E220F"/>
    <w:rsid w:val="003E5310"/>
    <w:rsid w:val="003F23A2"/>
    <w:rsid w:val="003F2906"/>
    <w:rsid w:val="003F3969"/>
    <w:rsid w:val="003F542F"/>
    <w:rsid w:val="00400131"/>
    <w:rsid w:val="00400D9E"/>
    <w:rsid w:val="004011B5"/>
    <w:rsid w:val="00402F8B"/>
    <w:rsid w:val="0040362B"/>
    <w:rsid w:val="00403782"/>
    <w:rsid w:val="00406BE1"/>
    <w:rsid w:val="004070A3"/>
    <w:rsid w:val="00410B14"/>
    <w:rsid w:val="004116DB"/>
    <w:rsid w:val="00411983"/>
    <w:rsid w:val="00411DBE"/>
    <w:rsid w:val="004133FA"/>
    <w:rsid w:val="00414206"/>
    <w:rsid w:val="00415D33"/>
    <w:rsid w:val="00417E72"/>
    <w:rsid w:val="004218D2"/>
    <w:rsid w:val="00421D4F"/>
    <w:rsid w:val="00422195"/>
    <w:rsid w:val="0042337F"/>
    <w:rsid w:val="00430BDD"/>
    <w:rsid w:val="00431FB7"/>
    <w:rsid w:val="004325F5"/>
    <w:rsid w:val="00433020"/>
    <w:rsid w:val="00442673"/>
    <w:rsid w:val="004439EB"/>
    <w:rsid w:val="00445828"/>
    <w:rsid w:val="00445D0B"/>
    <w:rsid w:val="00446FFB"/>
    <w:rsid w:val="00447C7D"/>
    <w:rsid w:val="0045404E"/>
    <w:rsid w:val="004546E5"/>
    <w:rsid w:val="00454812"/>
    <w:rsid w:val="004566D7"/>
    <w:rsid w:val="00457805"/>
    <w:rsid w:val="004600BC"/>
    <w:rsid w:val="004628F6"/>
    <w:rsid w:val="00463195"/>
    <w:rsid w:val="00463A90"/>
    <w:rsid w:val="00465B4F"/>
    <w:rsid w:val="00466C88"/>
    <w:rsid w:val="00467E20"/>
    <w:rsid w:val="00470B00"/>
    <w:rsid w:val="00473B24"/>
    <w:rsid w:val="00475633"/>
    <w:rsid w:val="00477D20"/>
    <w:rsid w:val="00480CC5"/>
    <w:rsid w:val="0048310C"/>
    <w:rsid w:val="004940F0"/>
    <w:rsid w:val="004A0493"/>
    <w:rsid w:val="004A4BA6"/>
    <w:rsid w:val="004A5832"/>
    <w:rsid w:val="004A7F29"/>
    <w:rsid w:val="004B6582"/>
    <w:rsid w:val="004C19B8"/>
    <w:rsid w:val="004C5CEE"/>
    <w:rsid w:val="004C6C8C"/>
    <w:rsid w:val="004D4D46"/>
    <w:rsid w:val="004D5BC2"/>
    <w:rsid w:val="004E0918"/>
    <w:rsid w:val="004E3DC9"/>
    <w:rsid w:val="004F11C1"/>
    <w:rsid w:val="004F350D"/>
    <w:rsid w:val="004F409D"/>
    <w:rsid w:val="004F614E"/>
    <w:rsid w:val="004F6F16"/>
    <w:rsid w:val="004F707A"/>
    <w:rsid w:val="004F79DD"/>
    <w:rsid w:val="005014D8"/>
    <w:rsid w:val="00502CE1"/>
    <w:rsid w:val="00506634"/>
    <w:rsid w:val="00512690"/>
    <w:rsid w:val="00512B67"/>
    <w:rsid w:val="0051632A"/>
    <w:rsid w:val="005218BA"/>
    <w:rsid w:val="00522FCB"/>
    <w:rsid w:val="00525383"/>
    <w:rsid w:val="00527730"/>
    <w:rsid w:val="005317D6"/>
    <w:rsid w:val="00531E18"/>
    <w:rsid w:val="00532A57"/>
    <w:rsid w:val="00533B50"/>
    <w:rsid w:val="00536E2C"/>
    <w:rsid w:val="00543EE1"/>
    <w:rsid w:val="00544B1E"/>
    <w:rsid w:val="0055163F"/>
    <w:rsid w:val="00557CCB"/>
    <w:rsid w:val="00562ECB"/>
    <w:rsid w:val="00565699"/>
    <w:rsid w:val="005661E1"/>
    <w:rsid w:val="00570336"/>
    <w:rsid w:val="0057107C"/>
    <w:rsid w:val="0058152A"/>
    <w:rsid w:val="00581622"/>
    <w:rsid w:val="005825E1"/>
    <w:rsid w:val="00582BD9"/>
    <w:rsid w:val="00585030"/>
    <w:rsid w:val="005852E5"/>
    <w:rsid w:val="00585813"/>
    <w:rsid w:val="0059001C"/>
    <w:rsid w:val="0059151E"/>
    <w:rsid w:val="00592B6C"/>
    <w:rsid w:val="00592E16"/>
    <w:rsid w:val="00593DAE"/>
    <w:rsid w:val="00595EA9"/>
    <w:rsid w:val="00597204"/>
    <w:rsid w:val="00597E10"/>
    <w:rsid w:val="005A00BD"/>
    <w:rsid w:val="005A0A63"/>
    <w:rsid w:val="005A1366"/>
    <w:rsid w:val="005A2A4F"/>
    <w:rsid w:val="005A329B"/>
    <w:rsid w:val="005A7E59"/>
    <w:rsid w:val="005B6948"/>
    <w:rsid w:val="005B7BF5"/>
    <w:rsid w:val="005C27C4"/>
    <w:rsid w:val="005C3C48"/>
    <w:rsid w:val="005C5104"/>
    <w:rsid w:val="005C6A3F"/>
    <w:rsid w:val="005D3B5C"/>
    <w:rsid w:val="005D7B7E"/>
    <w:rsid w:val="005D7D8F"/>
    <w:rsid w:val="005E0781"/>
    <w:rsid w:val="005E71F3"/>
    <w:rsid w:val="005E782E"/>
    <w:rsid w:val="005E78C3"/>
    <w:rsid w:val="005F0840"/>
    <w:rsid w:val="005F1594"/>
    <w:rsid w:val="005F1630"/>
    <w:rsid w:val="005F750F"/>
    <w:rsid w:val="00600D7C"/>
    <w:rsid w:val="00604B6D"/>
    <w:rsid w:val="00605942"/>
    <w:rsid w:val="00611588"/>
    <w:rsid w:val="00613B8A"/>
    <w:rsid w:val="0061650D"/>
    <w:rsid w:val="00621BDC"/>
    <w:rsid w:val="00627A8C"/>
    <w:rsid w:val="00633CEF"/>
    <w:rsid w:val="00635CAF"/>
    <w:rsid w:val="006364C5"/>
    <w:rsid w:val="00636749"/>
    <w:rsid w:val="006421B9"/>
    <w:rsid w:val="00643411"/>
    <w:rsid w:val="00644E06"/>
    <w:rsid w:val="0065165A"/>
    <w:rsid w:val="00652025"/>
    <w:rsid w:val="00652BE0"/>
    <w:rsid w:val="00654133"/>
    <w:rsid w:val="00656098"/>
    <w:rsid w:val="0066046C"/>
    <w:rsid w:val="006621B2"/>
    <w:rsid w:val="00663937"/>
    <w:rsid w:val="006645BA"/>
    <w:rsid w:val="00666DE9"/>
    <w:rsid w:val="006701A7"/>
    <w:rsid w:val="00671D5F"/>
    <w:rsid w:val="006727E9"/>
    <w:rsid w:val="00673D68"/>
    <w:rsid w:val="00676A0C"/>
    <w:rsid w:val="00684A4B"/>
    <w:rsid w:val="00687012"/>
    <w:rsid w:val="00687A5C"/>
    <w:rsid w:val="00687B41"/>
    <w:rsid w:val="00696507"/>
    <w:rsid w:val="006972AC"/>
    <w:rsid w:val="006973C8"/>
    <w:rsid w:val="00697CFC"/>
    <w:rsid w:val="00697DF4"/>
    <w:rsid w:val="006A0AC9"/>
    <w:rsid w:val="006A50F0"/>
    <w:rsid w:val="006A754C"/>
    <w:rsid w:val="006B5CDD"/>
    <w:rsid w:val="006C0640"/>
    <w:rsid w:val="006C06EF"/>
    <w:rsid w:val="006C1357"/>
    <w:rsid w:val="006C2305"/>
    <w:rsid w:val="006C424F"/>
    <w:rsid w:val="006D0C5A"/>
    <w:rsid w:val="006D2486"/>
    <w:rsid w:val="006D4253"/>
    <w:rsid w:val="006D7C8C"/>
    <w:rsid w:val="006E33DB"/>
    <w:rsid w:val="006E376B"/>
    <w:rsid w:val="006E67BB"/>
    <w:rsid w:val="006E6FCB"/>
    <w:rsid w:val="006F340D"/>
    <w:rsid w:val="006F598F"/>
    <w:rsid w:val="006F682E"/>
    <w:rsid w:val="006F6A83"/>
    <w:rsid w:val="006F6C83"/>
    <w:rsid w:val="007031EF"/>
    <w:rsid w:val="00705FB0"/>
    <w:rsid w:val="00711779"/>
    <w:rsid w:val="0071215C"/>
    <w:rsid w:val="00714C68"/>
    <w:rsid w:val="00721EB8"/>
    <w:rsid w:val="00724B9C"/>
    <w:rsid w:val="00727690"/>
    <w:rsid w:val="007348BB"/>
    <w:rsid w:val="00736493"/>
    <w:rsid w:val="00737D5E"/>
    <w:rsid w:val="00747FD8"/>
    <w:rsid w:val="0075242D"/>
    <w:rsid w:val="00754180"/>
    <w:rsid w:val="0075674F"/>
    <w:rsid w:val="00756DF6"/>
    <w:rsid w:val="00757AFA"/>
    <w:rsid w:val="00761599"/>
    <w:rsid w:val="0076293B"/>
    <w:rsid w:val="0076307D"/>
    <w:rsid w:val="007731C6"/>
    <w:rsid w:val="007743FF"/>
    <w:rsid w:val="00782D78"/>
    <w:rsid w:val="00783240"/>
    <w:rsid w:val="007835B2"/>
    <w:rsid w:val="00783F17"/>
    <w:rsid w:val="0078517C"/>
    <w:rsid w:val="0078737B"/>
    <w:rsid w:val="00790F27"/>
    <w:rsid w:val="00793032"/>
    <w:rsid w:val="00794677"/>
    <w:rsid w:val="00795040"/>
    <w:rsid w:val="007A03D0"/>
    <w:rsid w:val="007A4BF4"/>
    <w:rsid w:val="007A5EDD"/>
    <w:rsid w:val="007A6293"/>
    <w:rsid w:val="007B0514"/>
    <w:rsid w:val="007B09D3"/>
    <w:rsid w:val="007B183D"/>
    <w:rsid w:val="007B385D"/>
    <w:rsid w:val="007B4D4B"/>
    <w:rsid w:val="007B549D"/>
    <w:rsid w:val="007B618A"/>
    <w:rsid w:val="007B7671"/>
    <w:rsid w:val="007B78C3"/>
    <w:rsid w:val="007C14E0"/>
    <w:rsid w:val="007C1815"/>
    <w:rsid w:val="007C2491"/>
    <w:rsid w:val="007C2886"/>
    <w:rsid w:val="007C4806"/>
    <w:rsid w:val="007C50E0"/>
    <w:rsid w:val="007D43CA"/>
    <w:rsid w:val="007D6407"/>
    <w:rsid w:val="007D6973"/>
    <w:rsid w:val="007D70EA"/>
    <w:rsid w:val="007D71E1"/>
    <w:rsid w:val="007D7253"/>
    <w:rsid w:val="007E0B0D"/>
    <w:rsid w:val="007E12FF"/>
    <w:rsid w:val="007E1B0D"/>
    <w:rsid w:val="007E26D7"/>
    <w:rsid w:val="007E3FFB"/>
    <w:rsid w:val="007F085D"/>
    <w:rsid w:val="007F08B8"/>
    <w:rsid w:val="007F16EB"/>
    <w:rsid w:val="007F1E17"/>
    <w:rsid w:val="007F2EFC"/>
    <w:rsid w:val="007F3149"/>
    <w:rsid w:val="007F37AF"/>
    <w:rsid w:val="007F4B90"/>
    <w:rsid w:val="007F66EC"/>
    <w:rsid w:val="007F6AFE"/>
    <w:rsid w:val="007F7A75"/>
    <w:rsid w:val="007F7EB6"/>
    <w:rsid w:val="0080424E"/>
    <w:rsid w:val="00804287"/>
    <w:rsid w:val="00804DA7"/>
    <w:rsid w:val="00806AFF"/>
    <w:rsid w:val="008116BB"/>
    <w:rsid w:val="00811920"/>
    <w:rsid w:val="008133BD"/>
    <w:rsid w:val="00814CA2"/>
    <w:rsid w:val="0081772A"/>
    <w:rsid w:val="00821B67"/>
    <w:rsid w:val="00821BAB"/>
    <w:rsid w:val="008233F8"/>
    <w:rsid w:val="0082533B"/>
    <w:rsid w:val="008256DD"/>
    <w:rsid w:val="008256FB"/>
    <w:rsid w:val="008261F4"/>
    <w:rsid w:val="0083007C"/>
    <w:rsid w:val="0083097A"/>
    <w:rsid w:val="00833B37"/>
    <w:rsid w:val="00834615"/>
    <w:rsid w:val="00836567"/>
    <w:rsid w:val="008374D6"/>
    <w:rsid w:val="008378EA"/>
    <w:rsid w:val="00843AD0"/>
    <w:rsid w:val="00844956"/>
    <w:rsid w:val="00844D75"/>
    <w:rsid w:val="008457CC"/>
    <w:rsid w:val="008475A9"/>
    <w:rsid w:val="00851D0F"/>
    <w:rsid w:val="00855450"/>
    <w:rsid w:val="0085775A"/>
    <w:rsid w:val="008616EE"/>
    <w:rsid w:val="00862016"/>
    <w:rsid w:val="00862F32"/>
    <w:rsid w:val="008630A3"/>
    <w:rsid w:val="00864A13"/>
    <w:rsid w:val="00864A94"/>
    <w:rsid w:val="0086779C"/>
    <w:rsid w:val="008723AB"/>
    <w:rsid w:val="0087243A"/>
    <w:rsid w:val="00873404"/>
    <w:rsid w:val="00874D3A"/>
    <w:rsid w:val="00882BD5"/>
    <w:rsid w:val="008872AB"/>
    <w:rsid w:val="0089439F"/>
    <w:rsid w:val="00896C0F"/>
    <w:rsid w:val="008A0A67"/>
    <w:rsid w:val="008A15A4"/>
    <w:rsid w:val="008A4CE4"/>
    <w:rsid w:val="008A6B5C"/>
    <w:rsid w:val="008A7F08"/>
    <w:rsid w:val="008B0280"/>
    <w:rsid w:val="008B0FCF"/>
    <w:rsid w:val="008B3395"/>
    <w:rsid w:val="008B698A"/>
    <w:rsid w:val="008C2542"/>
    <w:rsid w:val="008C2574"/>
    <w:rsid w:val="008C6B16"/>
    <w:rsid w:val="008D0AC2"/>
    <w:rsid w:val="008D1B1C"/>
    <w:rsid w:val="008D424E"/>
    <w:rsid w:val="008D48D4"/>
    <w:rsid w:val="008D5364"/>
    <w:rsid w:val="008D5736"/>
    <w:rsid w:val="008D70AB"/>
    <w:rsid w:val="008E0977"/>
    <w:rsid w:val="008E0D9D"/>
    <w:rsid w:val="008E11CF"/>
    <w:rsid w:val="008E3DA1"/>
    <w:rsid w:val="008E4C66"/>
    <w:rsid w:val="008E4FBD"/>
    <w:rsid w:val="008F2A2A"/>
    <w:rsid w:val="008F4B8B"/>
    <w:rsid w:val="008F6190"/>
    <w:rsid w:val="008F7133"/>
    <w:rsid w:val="00900E1B"/>
    <w:rsid w:val="009023DA"/>
    <w:rsid w:val="0090622C"/>
    <w:rsid w:val="0091482F"/>
    <w:rsid w:val="00915CBC"/>
    <w:rsid w:val="00917958"/>
    <w:rsid w:val="00917ECB"/>
    <w:rsid w:val="009205A7"/>
    <w:rsid w:val="009252C1"/>
    <w:rsid w:val="009256FB"/>
    <w:rsid w:val="00926C9B"/>
    <w:rsid w:val="00930863"/>
    <w:rsid w:val="00933E7F"/>
    <w:rsid w:val="00934EA5"/>
    <w:rsid w:val="009362E1"/>
    <w:rsid w:val="00937D13"/>
    <w:rsid w:val="00944383"/>
    <w:rsid w:val="009450BD"/>
    <w:rsid w:val="00945286"/>
    <w:rsid w:val="0094687C"/>
    <w:rsid w:val="009602C9"/>
    <w:rsid w:val="00962853"/>
    <w:rsid w:val="00962A1C"/>
    <w:rsid w:val="00962BE9"/>
    <w:rsid w:val="009660CD"/>
    <w:rsid w:val="00966127"/>
    <w:rsid w:val="00966B3B"/>
    <w:rsid w:val="00967BCF"/>
    <w:rsid w:val="009764B2"/>
    <w:rsid w:val="00976A58"/>
    <w:rsid w:val="00980B7B"/>
    <w:rsid w:val="0098237E"/>
    <w:rsid w:val="009834F1"/>
    <w:rsid w:val="009845B1"/>
    <w:rsid w:val="00984BB0"/>
    <w:rsid w:val="00984EE8"/>
    <w:rsid w:val="00991DCF"/>
    <w:rsid w:val="00997997"/>
    <w:rsid w:val="00997B1D"/>
    <w:rsid w:val="009A3232"/>
    <w:rsid w:val="009A793B"/>
    <w:rsid w:val="009B086B"/>
    <w:rsid w:val="009B11DF"/>
    <w:rsid w:val="009B23FF"/>
    <w:rsid w:val="009B2FAD"/>
    <w:rsid w:val="009B3288"/>
    <w:rsid w:val="009B3A6B"/>
    <w:rsid w:val="009B3A7F"/>
    <w:rsid w:val="009B3FA6"/>
    <w:rsid w:val="009B418A"/>
    <w:rsid w:val="009C112A"/>
    <w:rsid w:val="009D2CC7"/>
    <w:rsid w:val="009D2DA6"/>
    <w:rsid w:val="009D428B"/>
    <w:rsid w:val="009D5E74"/>
    <w:rsid w:val="009D700E"/>
    <w:rsid w:val="009F08C0"/>
    <w:rsid w:val="009F21D2"/>
    <w:rsid w:val="009F2A4B"/>
    <w:rsid w:val="009F2F3D"/>
    <w:rsid w:val="009F4EB9"/>
    <w:rsid w:val="009F7519"/>
    <w:rsid w:val="00A038BA"/>
    <w:rsid w:val="00A113C7"/>
    <w:rsid w:val="00A114DE"/>
    <w:rsid w:val="00A12168"/>
    <w:rsid w:val="00A1736C"/>
    <w:rsid w:val="00A217DC"/>
    <w:rsid w:val="00A23284"/>
    <w:rsid w:val="00A309E6"/>
    <w:rsid w:val="00A31423"/>
    <w:rsid w:val="00A31FE0"/>
    <w:rsid w:val="00A341C6"/>
    <w:rsid w:val="00A34366"/>
    <w:rsid w:val="00A35104"/>
    <w:rsid w:val="00A35D04"/>
    <w:rsid w:val="00A41780"/>
    <w:rsid w:val="00A41B2B"/>
    <w:rsid w:val="00A42282"/>
    <w:rsid w:val="00A434CC"/>
    <w:rsid w:val="00A444F7"/>
    <w:rsid w:val="00A450D3"/>
    <w:rsid w:val="00A4726F"/>
    <w:rsid w:val="00A51CAF"/>
    <w:rsid w:val="00A53FA5"/>
    <w:rsid w:val="00A540F9"/>
    <w:rsid w:val="00A5543A"/>
    <w:rsid w:val="00A571F8"/>
    <w:rsid w:val="00A65BA4"/>
    <w:rsid w:val="00A673C1"/>
    <w:rsid w:val="00A675E0"/>
    <w:rsid w:val="00A67740"/>
    <w:rsid w:val="00A73005"/>
    <w:rsid w:val="00A80896"/>
    <w:rsid w:val="00A80B9E"/>
    <w:rsid w:val="00A82782"/>
    <w:rsid w:val="00A84D58"/>
    <w:rsid w:val="00A859A6"/>
    <w:rsid w:val="00A87CC0"/>
    <w:rsid w:val="00A91B4A"/>
    <w:rsid w:val="00A92835"/>
    <w:rsid w:val="00A92FCD"/>
    <w:rsid w:val="00A94139"/>
    <w:rsid w:val="00AA2AB4"/>
    <w:rsid w:val="00AA49F0"/>
    <w:rsid w:val="00AA602A"/>
    <w:rsid w:val="00AA66AB"/>
    <w:rsid w:val="00AA6FB9"/>
    <w:rsid w:val="00AB02AD"/>
    <w:rsid w:val="00AB38F3"/>
    <w:rsid w:val="00AB3D41"/>
    <w:rsid w:val="00AB401E"/>
    <w:rsid w:val="00AB4988"/>
    <w:rsid w:val="00AB5D01"/>
    <w:rsid w:val="00AB5E1D"/>
    <w:rsid w:val="00AB676E"/>
    <w:rsid w:val="00AB7A62"/>
    <w:rsid w:val="00AC349D"/>
    <w:rsid w:val="00AC6790"/>
    <w:rsid w:val="00AC69B4"/>
    <w:rsid w:val="00AD222D"/>
    <w:rsid w:val="00AE0DA8"/>
    <w:rsid w:val="00AE2C23"/>
    <w:rsid w:val="00AE4D82"/>
    <w:rsid w:val="00AE5695"/>
    <w:rsid w:val="00AE7DDC"/>
    <w:rsid w:val="00AF09E5"/>
    <w:rsid w:val="00AF35C1"/>
    <w:rsid w:val="00AF4609"/>
    <w:rsid w:val="00AF5BD9"/>
    <w:rsid w:val="00AF76A5"/>
    <w:rsid w:val="00B05E3F"/>
    <w:rsid w:val="00B114AE"/>
    <w:rsid w:val="00B1242B"/>
    <w:rsid w:val="00B12850"/>
    <w:rsid w:val="00B12AA1"/>
    <w:rsid w:val="00B1366F"/>
    <w:rsid w:val="00B20A7D"/>
    <w:rsid w:val="00B21677"/>
    <w:rsid w:val="00B229B3"/>
    <w:rsid w:val="00B27022"/>
    <w:rsid w:val="00B324CF"/>
    <w:rsid w:val="00B32D9D"/>
    <w:rsid w:val="00B32E52"/>
    <w:rsid w:val="00B34328"/>
    <w:rsid w:val="00B35BC8"/>
    <w:rsid w:val="00B37639"/>
    <w:rsid w:val="00B40B45"/>
    <w:rsid w:val="00B40E0F"/>
    <w:rsid w:val="00B4424F"/>
    <w:rsid w:val="00B5048B"/>
    <w:rsid w:val="00B530AB"/>
    <w:rsid w:val="00B5432C"/>
    <w:rsid w:val="00B55E6B"/>
    <w:rsid w:val="00B56EA6"/>
    <w:rsid w:val="00B60D25"/>
    <w:rsid w:val="00B62D0A"/>
    <w:rsid w:val="00B64718"/>
    <w:rsid w:val="00B650C4"/>
    <w:rsid w:val="00B662A7"/>
    <w:rsid w:val="00B672E4"/>
    <w:rsid w:val="00B70111"/>
    <w:rsid w:val="00B707CE"/>
    <w:rsid w:val="00B72EC0"/>
    <w:rsid w:val="00B82AB6"/>
    <w:rsid w:val="00B8312E"/>
    <w:rsid w:val="00B83793"/>
    <w:rsid w:val="00B85EF1"/>
    <w:rsid w:val="00B929AD"/>
    <w:rsid w:val="00B97CDD"/>
    <w:rsid w:val="00BA2A32"/>
    <w:rsid w:val="00BA3321"/>
    <w:rsid w:val="00BA78F2"/>
    <w:rsid w:val="00BB15C3"/>
    <w:rsid w:val="00BB270C"/>
    <w:rsid w:val="00BB2B2E"/>
    <w:rsid w:val="00BB36DB"/>
    <w:rsid w:val="00BB5634"/>
    <w:rsid w:val="00BC06C2"/>
    <w:rsid w:val="00BC1730"/>
    <w:rsid w:val="00BC590B"/>
    <w:rsid w:val="00BC6C5B"/>
    <w:rsid w:val="00BD3602"/>
    <w:rsid w:val="00BD4057"/>
    <w:rsid w:val="00BD641C"/>
    <w:rsid w:val="00BE13F2"/>
    <w:rsid w:val="00BE202B"/>
    <w:rsid w:val="00BE3D5E"/>
    <w:rsid w:val="00BE5D36"/>
    <w:rsid w:val="00BE75D3"/>
    <w:rsid w:val="00BF2811"/>
    <w:rsid w:val="00BF32DF"/>
    <w:rsid w:val="00BF357E"/>
    <w:rsid w:val="00BF3DC3"/>
    <w:rsid w:val="00BF4F0E"/>
    <w:rsid w:val="00BF5214"/>
    <w:rsid w:val="00C07B0C"/>
    <w:rsid w:val="00C1010D"/>
    <w:rsid w:val="00C120CC"/>
    <w:rsid w:val="00C12AD1"/>
    <w:rsid w:val="00C13F0E"/>
    <w:rsid w:val="00C160DF"/>
    <w:rsid w:val="00C16CD3"/>
    <w:rsid w:val="00C2226A"/>
    <w:rsid w:val="00C23C53"/>
    <w:rsid w:val="00C2410E"/>
    <w:rsid w:val="00C24909"/>
    <w:rsid w:val="00C3001B"/>
    <w:rsid w:val="00C31AA4"/>
    <w:rsid w:val="00C37433"/>
    <w:rsid w:val="00C42587"/>
    <w:rsid w:val="00C43A73"/>
    <w:rsid w:val="00C460A4"/>
    <w:rsid w:val="00C46E13"/>
    <w:rsid w:val="00C476A1"/>
    <w:rsid w:val="00C50A63"/>
    <w:rsid w:val="00C51671"/>
    <w:rsid w:val="00C66474"/>
    <w:rsid w:val="00C7144B"/>
    <w:rsid w:val="00C77A03"/>
    <w:rsid w:val="00C8048F"/>
    <w:rsid w:val="00C80C6A"/>
    <w:rsid w:val="00C81E0A"/>
    <w:rsid w:val="00C828F2"/>
    <w:rsid w:val="00C87545"/>
    <w:rsid w:val="00C90EC2"/>
    <w:rsid w:val="00C92ED3"/>
    <w:rsid w:val="00C93F80"/>
    <w:rsid w:val="00C9472C"/>
    <w:rsid w:val="00C97527"/>
    <w:rsid w:val="00CA16B0"/>
    <w:rsid w:val="00CA208C"/>
    <w:rsid w:val="00CA43D9"/>
    <w:rsid w:val="00CA7D36"/>
    <w:rsid w:val="00CB02EA"/>
    <w:rsid w:val="00CB3B86"/>
    <w:rsid w:val="00CB4A8F"/>
    <w:rsid w:val="00CB557F"/>
    <w:rsid w:val="00CB5679"/>
    <w:rsid w:val="00CB6AAE"/>
    <w:rsid w:val="00CC345E"/>
    <w:rsid w:val="00CC45A1"/>
    <w:rsid w:val="00CD0519"/>
    <w:rsid w:val="00CD0F60"/>
    <w:rsid w:val="00CD3AB5"/>
    <w:rsid w:val="00CD4F4F"/>
    <w:rsid w:val="00CE05EF"/>
    <w:rsid w:val="00CE0F91"/>
    <w:rsid w:val="00CE4CB5"/>
    <w:rsid w:val="00CE53F1"/>
    <w:rsid w:val="00CE5F8C"/>
    <w:rsid w:val="00CF0587"/>
    <w:rsid w:val="00CF1B29"/>
    <w:rsid w:val="00CF36B7"/>
    <w:rsid w:val="00D01F4B"/>
    <w:rsid w:val="00D04AA0"/>
    <w:rsid w:val="00D0551D"/>
    <w:rsid w:val="00D075E2"/>
    <w:rsid w:val="00D07EB9"/>
    <w:rsid w:val="00D07F37"/>
    <w:rsid w:val="00D107B2"/>
    <w:rsid w:val="00D12DF3"/>
    <w:rsid w:val="00D156E3"/>
    <w:rsid w:val="00D21220"/>
    <w:rsid w:val="00D24025"/>
    <w:rsid w:val="00D3142B"/>
    <w:rsid w:val="00D31849"/>
    <w:rsid w:val="00D32558"/>
    <w:rsid w:val="00D331A2"/>
    <w:rsid w:val="00D338D6"/>
    <w:rsid w:val="00D34924"/>
    <w:rsid w:val="00D35560"/>
    <w:rsid w:val="00D43186"/>
    <w:rsid w:val="00D4344D"/>
    <w:rsid w:val="00D44430"/>
    <w:rsid w:val="00D45306"/>
    <w:rsid w:val="00D46053"/>
    <w:rsid w:val="00D47161"/>
    <w:rsid w:val="00D507A9"/>
    <w:rsid w:val="00D55B72"/>
    <w:rsid w:val="00D55DBB"/>
    <w:rsid w:val="00D56C28"/>
    <w:rsid w:val="00D57226"/>
    <w:rsid w:val="00D60577"/>
    <w:rsid w:val="00D66667"/>
    <w:rsid w:val="00D71AAD"/>
    <w:rsid w:val="00D744E5"/>
    <w:rsid w:val="00D746C8"/>
    <w:rsid w:val="00D74A43"/>
    <w:rsid w:val="00D74BB7"/>
    <w:rsid w:val="00D76E4C"/>
    <w:rsid w:val="00D77931"/>
    <w:rsid w:val="00D77CE8"/>
    <w:rsid w:val="00D80067"/>
    <w:rsid w:val="00D82739"/>
    <w:rsid w:val="00D84B14"/>
    <w:rsid w:val="00D86507"/>
    <w:rsid w:val="00D9109B"/>
    <w:rsid w:val="00D92F93"/>
    <w:rsid w:val="00DA3955"/>
    <w:rsid w:val="00DA435B"/>
    <w:rsid w:val="00DA7EB4"/>
    <w:rsid w:val="00DC282E"/>
    <w:rsid w:val="00DC3F70"/>
    <w:rsid w:val="00DC4D1B"/>
    <w:rsid w:val="00DC4D9C"/>
    <w:rsid w:val="00DC55EB"/>
    <w:rsid w:val="00DC70AF"/>
    <w:rsid w:val="00DD0A97"/>
    <w:rsid w:val="00DD168B"/>
    <w:rsid w:val="00DD1E75"/>
    <w:rsid w:val="00DD4A0D"/>
    <w:rsid w:val="00DE063C"/>
    <w:rsid w:val="00DE0DC8"/>
    <w:rsid w:val="00DE1849"/>
    <w:rsid w:val="00DE20BE"/>
    <w:rsid w:val="00DE28A0"/>
    <w:rsid w:val="00DE566E"/>
    <w:rsid w:val="00DE78D6"/>
    <w:rsid w:val="00DE7F35"/>
    <w:rsid w:val="00DF356B"/>
    <w:rsid w:val="00DF38A4"/>
    <w:rsid w:val="00DF5004"/>
    <w:rsid w:val="00DF6B57"/>
    <w:rsid w:val="00E04AF8"/>
    <w:rsid w:val="00E05F9F"/>
    <w:rsid w:val="00E07131"/>
    <w:rsid w:val="00E0751A"/>
    <w:rsid w:val="00E078CA"/>
    <w:rsid w:val="00E12857"/>
    <w:rsid w:val="00E13102"/>
    <w:rsid w:val="00E16F35"/>
    <w:rsid w:val="00E31E33"/>
    <w:rsid w:val="00E343FD"/>
    <w:rsid w:val="00E3458B"/>
    <w:rsid w:val="00E35006"/>
    <w:rsid w:val="00E35A2D"/>
    <w:rsid w:val="00E402FE"/>
    <w:rsid w:val="00E40FF7"/>
    <w:rsid w:val="00E42ACA"/>
    <w:rsid w:val="00E45EBC"/>
    <w:rsid w:val="00E47A72"/>
    <w:rsid w:val="00E507B1"/>
    <w:rsid w:val="00E521E9"/>
    <w:rsid w:val="00E528AD"/>
    <w:rsid w:val="00E52ADD"/>
    <w:rsid w:val="00E576F4"/>
    <w:rsid w:val="00E577F2"/>
    <w:rsid w:val="00E61E76"/>
    <w:rsid w:val="00E62F9C"/>
    <w:rsid w:val="00E63550"/>
    <w:rsid w:val="00E63B1A"/>
    <w:rsid w:val="00E64D8A"/>
    <w:rsid w:val="00E6668F"/>
    <w:rsid w:val="00E67839"/>
    <w:rsid w:val="00E70C62"/>
    <w:rsid w:val="00E73841"/>
    <w:rsid w:val="00E73ACB"/>
    <w:rsid w:val="00E73B7D"/>
    <w:rsid w:val="00E748D5"/>
    <w:rsid w:val="00E75496"/>
    <w:rsid w:val="00E75907"/>
    <w:rsid w:val="00E80936"/>
    <w:rsid w:val="00E8266E"/>
    <w:rsid w:val="00E82B8F"/>
    <w:rsid w:val="00E85003"/>
    <w:rsid w:val="00E857E4"/>
    <w:rsid w:val="00E85C58"/>
    <w:rsid w:val="00E93F45"/>
    <w:rsid w:val="00E9479A"/>
    <w:rsid w:val="00EA5B47"/>
    <w:rsid w:val="00EA73B2"/>
    <w:rsid w:val="00EA7EFC"/>
    <w:rsid w:val="00EB1680"/>
    <w:rsid w:val="00EB6126"/>
    <w:rsid w:val="00EB650D"/>
    <w:rsid w:val="00EC12CA"/>
    <w:rsid w:val="00EC40F9"/>
    <w:rsid w:val="00EC47B6"/>
    <w:rsid w:val="00ED0B4F"/>
    <w:rsid w:val="00ED6E6D"/>
    <w:rsid w:val="00EE3DC3"/>
    <w:rsid w:val="00EE408D"/>
    <w:rsid w:val="00EE4438"/>
    <w:rsid w:val="00EE574C"/>
    <w:rsid w:val="00EE6009"/>
    <w:rsid w:val="00EF0AF8"/>
    <w:rsid w:val="00EF4456"/>
    <w:rsid w:val="00EF71B5"/>
    <w:rsid w:val="00F0203D"/>
    <w:rsid w:val="00F06C4D"/>
    <w:rsid w:val="00F13ABB"/>
    <w:rsid w:val="00F140D4"/>
    <w:rsid w:val="00F14129"/>
    <w:rsid w:val="00F1563A"/>
    <w:rsid w:val="00F15E7A"/>
    <w:rsid w:val="00F21C09"/>
    <w:rsid w:val="00F261C4"/>
    <w:rsid w:val="00F30C71"/>
    <w:rsid w:val="00F312F8"/>
    <w:rsid w:val="00F31D1E"/>
    <w:rsid w:val="00F33847"/>
    <w:rsid w:val="00F36A9B"/>
    <w:rsid w:val="00F40660"/>
    <w:rsid w:val="00F43C57"/>
    <w:rsid w:val="00F44369"/>
    <w:rsid w:val="00F45445"/>
    <w:rsid w:val="00F464D5"/>
    <w:rsid w:val="00F46C17"/>
    <w:rsid w:val="00F46D33"/>
    <w:rsid w:val="00F47957"/>
    <w:rsid w:val="00F53E48"/>
    <w:rsid w:val="00F5511F"/>
    <w:rsid w:val="00F5588C"/>
    <w:rsid w:val="00F565A0"/>
    <w:rsid w:val="00F57E1C"/>
    <w:rsid w:val="00F62BC9"/>
    <w:rsid w:val="00F632FE"/>
    <w:rsid w:val="00F63F8C"/>
    <w:rsid w:val="00F64648"/>
    <w:rsid w:val="00F6473E"/>
    <w:rsid w:val="00F64D6F"/>
    <w:rsid w:val="00F6748C"/>
    <w:rsid w:val="00F67D5D"/>
    <w:rsid w:val="00F72815"/>
    <w:rsid w:val="00F72D40"/>
    <w:rsid w:val="00F74C3E"/>
    <w:rsid w:val="00F755C2"/>
    <w:rsid w:val="00F75F8C"/>
    <w:rsid w:val="00F7619F"/>
    <w:rsid w:val="00F7624E"/>
    <w:rsid w:val="00F801B1"/>
    <w:rsid w:val="00F80BD8"/>
    <w:rsid w:val="00F81849"/>
    <w:rsid w:val="00F86AD1"/>
    <w:rsid w:val="00F87F62"/>
    <w:rsid w:val="00F945F6"/>
    <w:rsid w:val="00F9648C"/>
    <w:rsid w:val="00FA0456"/>
    <w:rsid w:val="00FA1B73"/>
    <w:rsid w:val="00FA45C4"/>
    <w:rsid w:val="00FB13B4"/>
    <w:rsid w:val="00FB1D1E"/>
    <w:rsid w:val="00FB20F9"/>
    <w:rsid w:val="00FB2AA4"/>
    <w:rsid w:val="00FB3848"/>
    <w:rsid w:val="00FB7EB9"/>
    <w:rsid w:val="00FC03DA"/>
    <w:rsid w:val="00FC0FE0"/>
    <w:rsid w:val="00FC1C16"/>
    <w:rsid w:val="00FC5E5A"/>
    <w:rsid w:val="00FC5F2E"/>
    <w:rsid w:val="00FD3575"/>
    <w:rsid w:val="00FD38CC"/>
    <w:rsid w:val="00FD3CE2"/>
    <w:rsid w:val="00FD482F"/>
    <w:rsid w:val="00FD4F28"/>
    <w:rsid w:val="00FD6C14"/>
    <w:rsid w:val="00FE36C4"/>
    <w:rsid w:val="00FF4318"/>
    <w:rsid w:val="00FF437E"/>
    <w:rsid w:val="00FF6122"/>
    <w:rsid w:val="00FF68BC"/>
    <w:rsid w:val="00FF7851"/>
    <w:rsid w:val="18186022"/>
    <w:rsid w:val="2A9F3B4A"/>
    <w:rsid w:val="76C06BE6"/>
    <w:rsid w:val="7C2C4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9"/>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qFormat/>
    <w:uiPriority w:val="0"/>
    <w:pPr>
      <w:snapToGrid w:val="0"/>
      <w:jc w:val="left"/>
    </w:pPr>
    <w:rPr>
      <w:rFonts w:ascii="Times New Roman" w:hAnsi="Times New Roman"/>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semiHidden/>
    <w:qFormat/>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annotation reference"/>
    <w:semiHidden/>
    <w:uiPriority w:val="0"/>
    <w:rPr>
      <w:sz w:val="21"/>
      <w:szCs w:val="21"/>
    </w:rPr>
  </w:style>
  <w:style w:type="character" w:styleId="16">
    <w:name w:val="footnote reference"/>
    <w:qFormat/>
    <w:uiPriority w:val="0"/>
    <w:rPr>
      <w:vertAlign w:val="superscript"/>
    </w:rPr>
  </w:style>
  <w:style w:type="paragraph" w:customStyle="1" w:styleId="17">
    <w:name w:val="Char Char Char"/>
    <w:basedOn w:val="1"/>
    <w:qFormat/>
    <w:uiPriority w:val="0"/>
    <w:rPr>
      <w:rFonts w:ascii="Tahoma" w:hAnsi="Tahoma"/>
      <w:sz w:val="24"/>
      <w:szCs w:val="20"/>
    </w:rPr>
  </w:style>
  <w:style w:type="character" w:customStyle="1" w:styleId="18">
    <w:name w:val="页眉 Char"/>
    <w:link w:val="6"/>
    <w:qFormat/>
    <w:uiPriority w:val="0"/>
    <w:rPr>
      <w:rFonts w:ascii="Calibri" w:hAnsi="Calibri"/>
      <w:kern w:val="2"/>
      <w:sz w:val="18"/>
      <w:szCs w:val="18"/>
    </w:rPr>
  </w:style>
  <w:style w:type="character" w:customStyle="1" w:styleId="19">
    <w:name w:val="标题 2 Char"/>
    <w:link w:val="2"/>
    <w:qFormat/>
    <w:uiPriority w:val="0"/>
    <w:rPr>
      <w:rFonts w:ascii="宋体" w:hAnsi="宋体" w:cs="宋体"/>
      <w:b/>
      <w:bCs/>
      <w:sz w:val="36"/>
      <w:szCs w:val="36"/>
    </w:rPr>
  </w:style>
  <w:style w:type="character" w:customStyle="1" w:styleId="20">
    <w:name w:val="脚注文本 Char"/>
    <w:link w:val="7"/>
    <w:uiPriority w:val="0"/>
    <w:rPr>
      <w:kern w:val="2"/>
      <w:sz w:val="18"/>
      <w:szCs w:val="18"/>
    </w:rPr>
  </w:style>
  <w:style w:type="paragraph" w:customStyle="1" w:styleId="21">
    <w:name w:val="Char"/>
    <w:basedOn w:val="1"/>
    <w:qFormat/>
    <w:uiPriority w:val="0"/>
    <w:pPr>
      <w:widowControl/>
      <w:spacing w:after="160" w:line="240" w:lineRule="exact"/>
      <w:jc w:val="left"/>
    </w:pPr>
    <w:rPr>
      <w:rFonts w:ascii="Verdana" w:hAnsi="Verdana" w:eastAsia="MS Mincho" w:cs="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FF387-BC1D-4E4A-B6A1-312407C7B9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1273</Words>
  <Characters>7259</Characters>
  <Lines>60</Lines>
  <Paragraphs>17</Paragraphs>
  <TotalTime>17842</TotalTime>
  <ScaleCrop>false</ScaleCrop>
  <LinksUpToDate>false</LinksUpToDate>
  <CharactersWithSpaces>8515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2018-04-17T09:26:00Z</dcterms:created>
  <dc:creator>User</dc:creator>
  <cp:lastModifiedBy>Administrator</cp:lastModifiedBy>
  <cp:lastPrinted>2019-04-10T02:50:00Z</cp:lastPrinted>
  <dcterms:modified xsi:type="dcterms:W3CDTF">2019-04-11T02:04:20Z</dcterms:modified>
  <dc:title>“东北师范大学本科专业评估”指标体系（5月16日）</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