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045970" cy="3096260"/>
            <wp:effectExtent l="0" t="0" r="1143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icrosoftYaHei-Bold" w:hAnsi="MicrosoftYaHei-Bold" w:eastAsia="MicrosoftYaHei-Bold" w:cs="MicrosoftYaHei-Bold"/>
          <w:b/>
          <w:color w:val="2E2657"/>
          <w:kern w:val="0"/>
          <w:sz w:val="96"/>
          <w:szCs w:val="96"/>
          <w:lang w:val="en-US" w:eastAsia="zh-CN" w:bidi="ar"/>
        </w:rPr>
        <w:t xml:space="preserve">裴素英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Wingdings-Regular" w:hAnsi="Wingdings-Regular" w:eastAsia="Wingdings-Regular" w:cs="Wingdings-Regular"/>
          <w:color w:val="000000"/>
          <w:kern w:val="0"/>
          <w:sz w:val="32"/>
          <w:szCs w:val="32"/>
          <w:lang w:val="en-US" w:eastAsia="zh-CN" w:bidi="ar"/>
        </w:rPr>
        <w:t>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深检索分析师、研究员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⚫ 执业专利代理师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⚫ 计算机、图像处理、人工智能领域专家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⚫ 本科毕业于西安电子科技大学，研究生毕业于北京航空航天大学。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⚫ 具有19年知识产权相关工作经验，熟悉知识产权相关法律体系及内容，熟悉发明实审、复审、无效各程序，具有10多年检索分析经验，多次参与各类培训工作。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⚫ 专注于计算机、图像处理、人工智能等技术领域的专利挖掘布局、专利数据分析、专利风险预警等多项专利咨询业务。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0829"/>
    <w:rsid w:val="3EE70088"/>
    <w:rsid w:val="41A3238A"/>
    <w:rsid w:val="564C0829"/>
    <w:rsid w:val="62744C20"/>
    <w:rsid w:val="6B2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石文峰</dc:creator>
  <cp:lastModifiedBy>娟子</cp:lastModifiedBy>
  <dcterms:modified xsi:type="dcterms:W3CDTF">2020-04-24T06:28:19Z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