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bCs/>
          <w:szCs w:val="21"/>
        </w:rPr>
      </w:pPr>
      <w:bookmarkStart w:id="0" w:name="_GoBack"/>
      <w:bookmarkEnd w:id="0"/>
    </w:p>
    <w:p>
      <w:pPr>
        <w:spacing w:line="240" w:lineRule="atLeast"/>
        <w:jc w:val="center"/>
        <w:rPr>
          <w:rFonts w:ascii="方正小标宋简体" w:eastAsia="方正小标宋简体"/>
          <w:bCs/>
          <w:sz w:val="36"/>
          <w:szCs w:val="21"/>
        </w:rPr>
      </w:pPr>
      <w:r>
        <w:rPr>
          <w:rFonts w:hint="eastAsia" w:ascii="方正小标宋简体" w:eastAsia="方正小标宋简体"/>
          <w:bCs/>
          <w:sz w:val="36"/>
          <w:szCs w:val="21"/>
        </w:rPr>
        <w:t>2020年度</w:t>
      </w:r>
      <w:r>
        <w:rPr>
          <w:rFonts w:ascii="方正小标宋简体" w:eastAsia="方正小标宋简体"/>
          <w:bCs/>
          <w:sz w:val="36"/>
          <w:szCs w:val="21"/>
        </w:rPr>
        <w:t>高等学校科学研究优秀成果奖</w:t>
      </w:r>
      <w:r>
        <w:rPr>
          <w:rFonts w:hint="eastAsia" w:ascii="方正小标宋简体" w:eastAsia="方正小标宋简体"/>
          <w:bCs/>
          <w:sz w:val="36"/>
          <w:szCs w:val="21"/>
        </w:rPr>
        <w:t>提名公示信息</w:t>
      </w: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1218"/>
        <w:gridCol w:w="112"/>
        <w:gridCol w:w="2156"/>
        <w:gridCol w:w="684"/>
        <w:gridCol w:w="1726"/>
        <w:gridCol w:w="1134"/>
        <w:gridCol w:w="1520"/>
        <w:gridCol w:w="1538"/>
        <w:gridCol w:w="162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spacing w:line="360" w:lineRule="exact"/>
              <w:jc w:val="center"/>
              <w:rPr>
                <w:rFonts w:ascii="黑体" w:hAnsi="黑体" w:eastAsia="黑体" w:cs="黑体"/>
                <w:sz w:val="22"/>
              </w:rPr>
            </w:pPr>
            <w:r>
              <w:rPr>
                <w:rFonts w:hint="eastAsia" w:ascii="黑体" w:hAnsi="黑体" w:eastAsia="黑体" w:cs="黑体"/>
                <w:sz w:val="22"/>
              </w:rPr>
              <w:t>项目名称</w:t>
            </w:r>
          </w:p>
        </w:tc>
        <w:tc>
          <w:tcPr>
            <w:tcW w:w="11566" w:type="dxa"/>
            <w:gridSpan w:val="8"/>
            <w:vAlign w:val="center"/>
          </w:tcPr>
          <w:p>
            <w:pPr>
              <w:spacing w:line="400" w:lineRule="exact"/>
              <w:jc w:val="center"/>
              <w:rPr>
                <w:sz w:val="24"/>
                <w:szCs w:val="24"/>
              </w:rPr>
            </w:pPr>
            <w:r>
              <w:rPr>
                <w:sz w:val="24"/>
                <w:szCs w:val="24"/>
              </w:rPr>
              <w:t>可变绕组电动发电机磁场电路耦合优化与容错技术及在车辆上的应用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spacing w:line="360" w:lineRule="exact"/>
              <w:jc w:val="center"/>
              <w:rPr>
                <w:rFonts w:ascii="黑体" w:hAnsi="黑体" w:eastAsia="黑体" w:cs="黑体"/>
                <w:sz w:val="22"/>
              </w:rPr>
            </w:pPr>
            <w:r>
              <w:rPr>
                <w:rFonts w:hint="eastAsia" w:ascii="黑体" w:hAnsi="黑体" w:eastAsia="黑体" w:cs="黑体"/>
                <w:sz w:val="22"/>
              </w:rPr>
              <w:t>提名单位</w:t>
            </w:r>
          </w:p>
        </w:tc>
        <w:tc>
          <w:tcPr>
            <w:tcW w:w="11566" w:type="dxa"/>
            <w:gridSpan w:val="8"/>
            <w:vAlign w:val="center"/>
          </w:tcPr>
          <w:p>
            <w:pPr>
              <w:spacing w:line="400" w:lineRule="exact"/>
              <w:jc w:val="center"/>
              <w:rPr>
                <w:sz w:val="24"/>
                <w:szCs w:val="24"/>
              </w:rPr>
            </w:pPr>
            <w:r>
              <w:rPr>
                <w:rFonts w:hint="eastAsia"/>
                <w:sz w:val="24"/>
                <w:szCs w:val="24"/>
              </w:rPr>
              <w:t>山东省</w:t>
            </w:r>
            <w:r>
              <w:rPr>
                <w:sz w:val="24"/>
                <w:szCs w:val="24"/>
              </w:rPr>
              <w:t>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spacing w:line="360" w:lineRule="exact"/>
              <w:jc w:val="center"/>
              <w:rPr>
                <w:rFonts w:ascii="黑体" w:hAnsi="黑体" w:eastAsia="黑体" w:cs="黑体"/>
                <w:sz w:val="22"/>
              </w:rPr>
            </w:pPr>
            <w:r>
              <w:rPr>
                <w:rFonts w:hint="eastAsia" w:ascii="黑体" w:hAnsi="黑体" w:eastAsia="黑体" w:cs="黑体"/>
                <w:sz w:val="22"/>
              </w:rPr>
              <w:t>主要完成人</w:t>
            </w:r>
          </w:p>
        </w:tc>
        <w:tc>
          <w:tcPr>
            <w:tcW w:w="11566" w:type="dxa"/>
            <w:gridSpan w:val="8"/>
          </w:tcPr>
          <w:p>
            <w:pPr>
              <w:spacing w:line="400" w:lineRule="exact"/>
              <w:jc w:val="center"/>
              <w:rPr>
                <w:rFonts w:ascii="仿宋" w:hAnsi="仿宋" w:eastAsia="仿宋" w:cs="Times New Roman"/>
                <w:bCs/>
                <w:color w:val="000000"/>
                <w:sz w:val="21"/>
                <w:szCs w:val="21"/>
              </w:rPr>
            </w:pPr>
            <w:r>
              <w:rPr>
                <w:sz w:val="24"/>
                <w:szCs w:val="24"/>
              </w:rPr>
              <w:t>1.史立伟；2.尹红彬；3.张学义；4.李波；5.王善健；6. 马清芝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spacing w:line="360" w:lineRule="exact"/>
              <w:jc w:val="center"/>
              <w:rPr>
                <w:rFonts w:ascii="黑体" w:hAnsi="黑体" w:eastAsia="黑体" w:cs="黑体"/>
                <w:sz w:val="22"/>
              </w:rPr>
            </w:pPr>
            <w:r>
              <w:rPr>
                <w:rFonts w:hint="eastAsia" w:ascii="黑体" w:hAnsi="黑体" w:eastAsia="黑体" w:cs="黑体"/>
                <w:sz w:val="22"/>
              </w:rPr>
              <w:t>主要完成单位</w:t>
            </w:r>
          </w:p>
        </w:tc>
        <w:tc>
          <w:tcPr>
            <w:tcW w:w="11566" w:type="dxa"/>
            <w:gridSpan w:val="8"/>
          </w:tcPr>
          <w:p>
            <w:pPr>
              <w:spacing w:line="400" w:lineRule="exact"/>
              <w:jc w:val="center"/>
              <w:rPr>
                <w:rFonts w:ascii="仿宋" w:hAnsi="仿宋" w:eastAsia="仿宋" w:cs="Times New Roman"/>
                <w:bCs/>
                <w:color w:val="000000"/>
                <w:sz w:val="21"/>
                <w:szCs w:val="21"/>
              </w:rPr>
            </w:pPr>
            <w:r>
              <w:rPr>
                <w:sz w:val="24"/>
                <w:szCs w:val="24"/>
              </w:rPr>
              <w:t>1.山东理工大学；2.北汽福田汽车股份有限公司诸城汽车厂；3.山东唐骏欧铃汽车制造有限公司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3606" w:type="dxa"/>
            <w:gridSpan w:val="11"/>
            <w:vAlign w:val="center"/>
          </w:tcPr>
          <w:p>
            <w:pPr>
              <w:spacing w:line="400" w:lineRule="exact"/>
              <w:jc w:val="center"/>
              <w:rPr>
                <w:sz w:val="24"/>
                <w:szCs w:val="24"/>
              </w:rPr>
            </w:pPr>
            <w:r>
              <w:rPr>
                <w:rFonts w:ascii="黑体" w:hAnsi="黑体" w:eastAsia="黑体" w:cs="黑体"/>
                <w:sz w:val="22"/>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pStyle w:val="17"/>
              <w:numPr>
                <w:ilvl w:val="0"/>
                <w:numId w:val="1"/>
              </w:numPr>
              <w:spacing w:line="360" w:lineRule="exact"/>
              <w:ind w:firstLineChars="0"/>
              <w:jc w:val="center"/>
              <w:rPr>
                <w:rFonts w:hAnsi="ˎ̥"/>
                <w:b/>
                <w:sz w:val="21"/>
                <w:szCs w:val="21"/>
              </w:rPr>
            </w:pPr>
            <w:r>
              <w:rPr>
                <w:rFonts w:hAnsi="ˎ̥"/>
                <w:sz w:val="21"/>
                <w:szCs w:val="21"/>
              </w:rPr>
              <w:t>史立伟</w:t>
            </w:r>
          </w:p>
          <w:p>
            <w:pPr>
              <w:spacing w:line="400" w:lineRule="exact"/>
              <w:jc w:val="center"/>
              <w:rPr>
                <w:rFonts w:hAnsi="ˎ̥"/>
                <w:b/>
                <w:sz w:val="21"/>
                <w:szCs w:val="21"/>
              </w:rPr>
            </w:pPr>
            <w:r>
              <w:rPr>
                <w:rFonts w:hAnsi="ˎ̥"/>
                <w:sz w:val="21"/>
                <w:szCs w:val="21"/>
              </w:rPr>
              <w:t>教授</w:t>
            </w:r>
          </w:p>
        </w:tc>
        <w:tc>
          <w:tcPr>
            <w:tcW w:w="11566" w:type="dxa"/>
            <w:gridSpan w:val="8"/>
          </w:tcPr>
          <w:p>
            <w:pPr>
              <w:adjustRightInd w:val="0"/>
              <w:snapToGrid w:val="0"/>
              <w:spacing w:line="240" w:lineRule="auto"/>
              <w:ind w:firstLine="420" w:firstLineChars="200"/>
              <w:rPr>
                <w:sz w:val="21"/>
                <w:szCs w:val="21"/>
              </w:rPr>
            </w:pPr>
            <w:r>
              <w:rPr>
                <w:sz w:val="21"/>
                <w:szCs w:val="21"/>
              </w:rPr>
              <w:t>工作单位： 山东理工大学</w:t>
            </w:r>
            <w:r>
              <w:rPr>
                <w:rFonts w:hint="eastAsia"/>
                <w:sz w:val="21"/>
                <w:szCs w:val="21"/>
              </w:rPr>
              <w:t>；</w:t>
            </w:r>
            <w:r>
              <w:rPr>
                <w:sz w:val="21"/>
                <w:szCs w:val="21"/>
              </w:rPr>
              <w:t xml:space="preserve">完成项目时所在单位： 山东理工大学 </w:t>
            </w:r>
          </w:p>
          <w:p>
            <w:pPr>
              <w:adjustRightInd w:val="0"/>
              <w:snapToGrid w:val="0"/>
              <w:spacing w:line="240" w:lineRule="auto"/>
              <w:rPr>
                <w:sz w:val="21"/>
                <w:szCs w:val="21"/>
              </w:rPr>
            </w:pPr>
            <w:r>
              <w:rPr>
                <w:sz w:val="21"/>
                <w:szCs w:val="21"/>
              </w:rPr>
              <w:t>对本项目技术创造性贡献：主持本项目的立项申请，组织实施本项目的研究计划及项目鉴定、验收工作。对推荐书中的主要技术发明点1～4中的主要论文、发明专利做出了创造性贡献。对推荐书中的主要技术发明点1的著作《汽车电器》，主要技术创新点2的论文做出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pStyle w:val="17"/>
              <w:numPr>
                <w:ilvl w:val="0"/>
                <w:numId w:val="1"/>
              </w:numPr>
              <w:spacing w:line="360" w:lineRule="auto"/>
              <w:ind w:firstLineChars="0"/>
              <w:jc w:val="center"/>
              <w:rPr>
                <w:rFonts w:hAnsi="ˎ̥"/>
                <w:sz w:val="21"/>
                <w:szCs w:val="21"/>
              </w:rPr>
            </w:pPr>
            <w:r>
              <w:rPr>
                <w:rFonts w:hAnsi="ˎ̥"/>
                <w:sz w:val="21"/>
                <w:szCs w:val="21"/>
              </w:rPr>
              <w:t>尹红彬</w:t>
            </w:r>
          </w:p>
          <w:p>
            <w:pPr>
              <w:spacing w:line="360" w:lineRule="auto"/>
              <w:jc w:val="center"/>
              <w:rPr>
                <w:rFonts w:ascii="宋体" w:hAnsi="宋体" w:cs="宋体"/>
                <w:sz w:val="21"/>
                <w:szCs w:val="21"/>
              </w:rPr>
            </w:pPr>
            <w:r>
              <w:rPr>
                <w:rFonts w:hAnsi="ˎ̥"/>
                <w:sz w:val="21"/>
                <w:szCs w:val="21"/>
              </w:rPr>
              <w:t>讲师</w:t>
            </w:r>
          </w:p>
        </w:tc>
        <w:tc>
          <w:tcPr>
            <w:tcW w:w="11566" w:type="dxa"/>
            <w:gridSpan w:val="8"/>
          </w:tcPr>
          <w:p>
            <w:pPr>
              <w:adjustRightInd w:val="0"/>
              <w:snapToGrid w:val="0"/>
              <w:spacing w:line="240" w:lineRule="auto"/>
              <w:ind w:firstLine="420" w:firstLineChars="200"/>
              <w:rPr>
                <w:sz w:val="21"/>
                <w:szCs w:val="21"/>
              </w:rPr>
            </w:pPr>
            <w:r>
              <w:rPr>
                <w:sz w:val="21"/>
                <w:szCs w:val="21"/>
              </w:rPr>
              <w:t>工作单位： 山东理工大学</w:t>
            </w:r>
            <w:r>
              <w:rPr>
                <w:rFonts w:hint="eastAsia"/>
                <w:sz w:val="21"/>
                <w:szCs w:val="21"/>
              </w:rPr>
              <w:t>；</w:t>
            </w:r>
            <w:r>
              <w:rPr>
                <w:sz w:val="21"/>
                <w:szCs w:val="21"/>
              </w:rPr>
              <w:t xml:space="preserve">完成项目时所在单位： 山东理工大学 </w:t>
            </w:r>
          </w:p>
          <w:p>
            <w:pPr>
              <w:adjustRightInd w:val="0"/>
              <w:snapToGrid w:val="0"/>
              <w:spacing w:line="240" w:lineRule="auto"/>
              <w:ind w:firstLine="420" w:firstLineChars="200"/>
              <w:rPr>
                <w:sz w:val="21"/>
                <w:szCs w:val="21"/>
              </w:rPr>
            </w:pPr>
            <w:r>
              <w:rPr>
                <w:sz w:val="21"/>
                <w:szCs w:val="21"/>
              </w:rPr>
              <w:t>对本项目技术创造性贡献：对汽车用钕铁硼永磁稳压发电机、绕组切换机理、起动发电机进行了系统的研究。发明了由两级基准电路、两级比较电路、触发电路和半控电路集成的电压调制控制技术，解决了汽车用永磁发电机在宽转速、变负载范围内输出电压不稳定问题。对推荐书中的主要技术创新点（2）的发明专利做出创造性贡献。对主要技术创新点（3）的论文、专利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pStyle w:val="17"/>
              <w:numPr>
                <w:ilvl w:val="0"/>
                <w:numId w:val="1"/>
              </w:numPr>
              <w:spacing w:line="360" w:lineRule="auto"/>
              <w:ind w:firstLineChars="0"/>
              <w:jc w:val="center"/>
              <w:rPr>
                <w:rFonts w:hAnsi="ˎ̥"/>
                <w:sz w:val="21"/>
                <w:szCs w:val="21"/>
              </w:rPr>
            </w:pPr>
            <w:r>
              <w:rPr>
                <w:rFonts w:hAnsi="ˎ̥"/>
                <w:sz w:val="21"/>
                <w:szCs w:val="21"/>
              </w:rPr>
              <w:t>张学义</w:t>
            </w:r>
          </w:p>
          <w:p>
            <w:pPr>
              <w:spacing w:line="360" w:lineRule="auto"/>
              <w:jc w:val="center"/>
              <w:rPr>
                <w:rFonts w:hAnsi="ˎ̥"/>
                <w:sz w:val="21"/>
                <w:szCs w:val="21"/>
              </w:rPr>
            </w:pPr>
            <w:r>
              <w:rPr>
                <w:rFonts w:hAnsi="ˎ̥"/>
                <w:sz w:val="21"/>
                <w:szCs w:val="21"/>
              </w:rPr>
              <w:t>教授</w:t>
            </w:r>
          </w:p>
        </w:tc>
        <w:tc>
          <w:tcPr>
            <w:tcW w:w="11566" w:type="dxa"/>
            <w:gridSpan w:val="8"/>
          </w:tcPr>
          <w:p>
            <w:pPr>
              <w:adjustRightInd w:val="0"/>
              <w:snapToGrid w:val="0"/>
              <w:spacing w:line="240" w:lineRule="auto"/>
              <w:ind w:firstLine="420" w:firstLineChars="200"/>
              <w:rPr>
                <w:sz w:val="21"/>
                <w:szCs w:val="21"/>
              </w:rPr>
            </w:pPr>
            <w:r>
              <w:rPr>
                <w:sz w:val="21"/>
                <w:szCs w:val="21"/>
              </w:rPr>
              <w:t>工作单位： 山东理工大学</w:t>
            </w:r>
            <w:r>
              <w:rPr>
                <w:rFonts w:hint="eastAsia"/>
                <w:sz w:val="21"/>
                <w:szCs w:val="21"/>
              </w:rPr>
              <w:t>；</w:t>
            </w:r>
            <w:r>
              <w:rPr>
                <w:sz w:val="21"/>
                <w:szCs w:val="21"/>
              </w:rPr>
              <w:t xml:space="preserve">完成项目时所在单位： 山东理工大学 </w:t>
            </w:r>
          </w:p>
          <w:p>
            <w:pPr>
              <w:adjustRightInd w:val="0"/>
              <w:snapToGrid w:val="0"/>
              <w:spacing w:line="240" w:lineRule="auto"/>
              <w:ind w:firstLine="420" w:firstLineChars="200"/>
              <w:rPr>
                <w:sz w:val="21"/>
                <w:szCs w:val="21"/>
              </w:rPr>
            </w:pPr>
            <w:r>
              <w:rPr>
                <w:sz w:val="21"/>
                <w:szCs w:val="21"/>
              </w:rPr>
              <w:t>对本项目技术创造性贡献：研制出N极定子极上的电枢绕组和S极定子极上的电枢绕组有效互补，磁路路径短，永磁体退磁效应小，定子铁芯涡流损耗少的飞轮永磁起动发电机；采用分离变量法建立交替极永磁电机数学解析模型，通过磁场电路耦合仿真和田口正交试验法优化电机转子结构参数。对推荐书中的主要技术创新点（2）和（3）的发明专利做出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pStyle w:val="17"/>
              <w:numPr>
                <w:ilvl w:val="0"/>
                <w:numId w:val="1"/>
              </w:numPr>
              <w:spacing w:line="360" w:lineRule="auto"/>
              <w:ind w:firstLineChars="0"/>
              <w:jc w:val="center"/>
              <w:rPr>
                <w:rFonts w:hAnsi="ˎ̥"/>
                <w:sz w:val="21"/>
                <w:szCs w:val="21"/>
              </w:rPr>
            </w:pPr>
            <w:r>
              <w:rPr>
                <w:rFonts w:hAnsi="ˎ̥"/>
                <w:sz w:val="21"/>
                <w:szCs w:val="21"/>
              </w:rPr>
              <w:t>李波</w:t>
            </w:r>
          </w:p>
          <w:p>
            <w:pPr>
              <w:spacing w:line="360" w:lineRule="auto"/>
              <w:jc w:val="center"/>
              <w:rPr>
                <w:rFonts w:hAnsi="ˎ̥"/>
                <w:sz w:val="21"/>
                <w:szCs w:val="21"/>
              </w:rPr>
            </w:pPr>
            <w:r>
              <w:rPr>
                <w:rFonts w:hAnsi="ˎ̥"/>
                <w:sz w:val="21"/>
                <w:szCs w:val="21"/>
              </w:rPr>
              <w:t>副教授</w:t>
            </w:r>
          </w:p>
        </w:tc>
        <w:tc>
          <w:tcPr>
            <w:tcW w:w="11566" w:type="dxa"/>
            <w:gridSpan w:val="8"/>
          </w:tcPr>
          <w:p>
            <w:pPr>
              <w:adjustRightInd w:val="0"/>
              <w:snapToGrid w:val="0"/>
              <w:spacing w:line="240" w:lineRule="auto"/>
              <w:ind w:firstLine="420" w:firstLineChars="200"/>
              <w:rPr>
                <w:sz w:val="21"/>
                <w:szCs w:val="21"/>
              </w:rPr>
            </w:pPr>
            <w:r>
              <w:rPr>
                <w:sz w:val="21"/>
                <w:szCs w:val="21"/>
              </w:rPr>
              <w:t>工作单位： 山东理工大学</w:t>
            </w:r>
            <w:r>
              <w:rPr>
                <w:rFonts w:hint="eastAsia"/>
                <w:sz w:val="21"/>
                <w:szCs w:val="21"/>
              </w:rPr>
              <w:t>；</w:t>
            </w:r>
            <w:r>
              <w:rPr>
                <w:sz w:val="21"/>
                <w:szCs w:val="21"/>
              </w:rPr>
              <w:t xml:space="preserve">完成项目时所在单位： 山东理工大学 </w:t>
            </w:r>
          </w:p>
          <w:p>
            <w:pPr>
              <w:adjustRightInd w:val="0"/>
              <w:snapToGrid w:val="0"/>
              <w:spacing w:line="240" w:lineRule="auto"/>
              <w:ind w:firstLine="420" w:firstLineChars="200"/>
              <w:rPr>
                <w:sz w:val="21"/>
                <w:szCs w:val="21"/>
              </w:rPr>
            </w:pPr>
            <w:r>
              <w:rPr>
                <w:sz w:val="21"/>
                <w:szCs w:val="21"/>
              </w:rPr>
              <w:t>对本项目技术创造性贡献：利用田口正交试验法对永磁电机转子参数进行优化分析，以气隙磁通密度和齿槽转矩大小为电机优化设计目标，将永磁体厚度、永磁体槽长度、永磁体槽深度、隔磁桥长度和最小气隙长度为优化参数，开展了优化设计研究，在保证感应电动势的同时降低了齿槽转矩。对推荐书中的主要技术创新点（1）中的发明专利做出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pStyle w:val="17"/>
              <w:numPr>
                <w:ilvl w:val="0"/>
                <w:numId w:val="1"/>
              </w:numPr>
              <w:spacing w:line="360" w:lineRule="auto"/>
              <w:ind w:firstLineChars="0"/>
              <w:jc w:val="center"/>
              <w:rPr>
                <w:rFonts w:hAnsi="ˎ̥"/>
                <w:sz w:val="21"/>
                <w:szCs w:val="21"/>
              </w:rPr>
            </w:pPr>
            <w:r>
              <w:rPr>
                <w:rFonts w:hAnsi="ˎ̥"/>
                <w:sz w:val="21"/>
                <w:szCs w:val="21"/>
              </w:rPr>
              <w:t>马清芝</w:t>
            </w:r>
          </w:p>
          <w:p>
            <w:pPr>
              <w:spacing w:line="360" w:lineRule="auto"/>
              <w:jc w:val="center"/>
              <w:rPr>
                <w:rFonts w:hAnsi="ˎ̥"/>
                <w:sz w:val="21"/>
                <w:szCs w:val="21"/>
              </w:rPr>
            </w:pPr>
            <w:r>
              <w:rPr>
                <w:rFonts w:hAnsi="ˎ̥"/>
                <w:sz w:val="21"/>
                <w:szCs w:val="21"/>
              </w:rPr>
              <w:t>高级工程师</w:t>
            </w:r>
          </w:p>
        </w:tc>
        <w:tc>
          <w:tcPr>
            <w:tcW w:w="11566" w:type="dxa"/>
            <w:gridSpan w:val="8"/>
          </w:tcPr>
          <w:p>
            <w:pPr>
              <w:adjustRightInd w:val="0"/>
              <w:snapToGrid w:val="0"/>
              <w:spacing w:line="240" w:lineRule="auto"/>
              <w:ind w:firstLine="420" w:firstLineChars="200"/>
              <w:rPr>
                <w:sz w:val="21"/>
                <w:szCs w:val="21"/>
              </w:rPr>
            </w:pPr>
            <w:r>
              <w:rPr>
                <w:sz w:val="21"/>
                <w:szCs w:val="21"/>
              </w:rPr>
              <w:t>工作单位： 山东唐骏欧铃汽车制造有限公司</w:t>
            </w:r>
            <w:r>
              <w:rPr>
                <w:rFonts w:hint="eastAsia"/>
                <w:sz w:val="21"/>
                <w:szCs w:val="21"/>
              </w:rPr>
              <w:t>；</w:t>
            </w:r>
            <w:r>
              <w:rPr>
                <w:sz w:val="21"/>
                <w:szCs w:val="21"/>
              </w:rPr>
              <w:t xml:space="preserve">完成项目时所在单位： 山东唐骏欧铃汽车制造有限公司 </w:t>
            </w:r>
          </w:p>
          <w:p>
            <w:pPr>
              <w:adjustRightInd w:val="0"/>
              <w:snapToGrid w:val="0"/>
              <w:spacing w:line="240" w:lineRule="auto"/>
              <w:ind w:firstLine="420" w:firstLineChars="200"/>
              <w:rPr>
                <w:sz w:val="21"/>
                <w:szCs w:val="21"/>
              </w:rPr>
            </w:pPr>
            <w:r>
              <w:rPr>
                <w:sz w:val="21"/>
                <w:szCs w:val="21"/>
              </w:rPr>
              <w:t>对本项目技术创造性贡献：对带泵式永磁发电机生产工艺进行了改进，采用导磁性能高、绝缘涂层好的冷轧硅钢片降低磁滞损耗，采用分数槽绕组、降低气隙磁场中的高次谐波含量，减少定子铁耗，缩短电枢绕组端部长度、提高槽满率，减少电枢绕组铜耗。对推荐书中的主要技术创新点（2）中的的发明专利做出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pStyle w:val="17"/>
              <w:numPr>
                <w:ilvl w:val="0"/>
                <w:numId w:val="1"/>
              </w:numPr>
              <w:spacing w:line="360" w:lineRule="auto"/>
              <w:ind w:firstLineChars="0"/>
              <w:jc w:val="center"/>
              <w:rPr>
                <w:rFonts w:hAnsi="ˎ̥"/>
                <w:sz w:val="21"/>
                <w:szCs w:val="21"/>
              </w:rPr>
            </w:pPr>
            <w:r>
              <w:rPr>
                <w:rFonts w:hAnsi="ˎ̥"/>
                <w:sz w:val="21"/>
                <w:szCs w:val="21"/>
              </w:rPr>
              <w:t>王善健</w:t>
            </w:r>
          </w:p>
          <w:p>
            <w:pPr>
              <w:spacing w:line="360" w:lineRule="auto"/>
              <w:jc w:val="center"/>
              <w:rPr>
                <w:rFonts w:hAnsi="ˎ̥"/>
                <w:sz w:val="21"/>
                <w:szCs w:val="21"/>
              </w:rPr>
            </w:pPr>
            <w:r>
              <w:rPr>
                <w:rFonts w:hAnsi="ˎ̥"/>
                <w:sz w:val="21"/>
                <w:szCs w:val="21"/>
              </w:rPr>
              <w:t>高级工程师</w:t>
            </w:r>
          </w:p>
        </w:tc>
        <w:tc>
          <w:tcPr>
            <w:tcW w:w="11566" w:type="dxa"/>
            <w:gridSpan w:val="8"/>
          </w:tcPr>
          <w:p>
            <w:pPr>
              <w:adjustRightInd w:val="0"/>
              <w:snapToGrid w:val="0"/>
              <w:spacing w:line="240" w:lineRule="auto"/>
              <w:ind w:firstLine="420" w:firstLineChars="200"/>
              <w:rPr>
                <w:sz w:val="21"/>
                <w:szCs w:val="21"/>
              </w:rPr>
            </w:pPr>
            <w:r>
              <w:rPr>
                <w:sz w:val="21"/>
                <w:szCs w:val="21"/>
              </w:rPr>
              <w:t>工作单位：北汽福田汽车股份有限公司诸城汽车厂</w:t>
            </w:r>
          </w:p>
          <w:p>
            <w:pPr>
              <w:adjustRightInd w:val="0"/>
              <w:snapToGrid w:val="0"/>
              <w:spacing w:line="240" w:lineRule="auto"/>
              <w:ind w:firstLine="420" w:firstLineChars="200"/>
              <w:rPr>
                <w:sz w:val="21"/>
                <w:szCs w:val="21"/>
              </w:rPr>
            </w:pPr>
            <w:r>
              <w:rPr>
                <w:sz w:val="21"/>
                <w:szCs w:val="21"/>
              </w:rPr>
              <w:t>完成项目时所在单位：北汽福田汽车股份有限公司诸城汽车厂</w:t>
            </w:r>
          </w:p>
          <w:p>
            <w:pPr>
              <w:adjustRightInd w:val="0"/>
              <w:snapToGrid w:val="0"/>
              <w:spacing w:line="240" w:lineRule="auto"/>
              <w:ind w:firstLine="420" w:firstLineChars="200"/>
              <w:rPr>
                <w:sz w:val="21"/>
                <w:szCs w:val="21"/>
              </w:rPr>
            </w:pPr>
            <w:r>
              <w:rPr>
                <w:sz w:val="21"/>
                <w:szCs w:val="21"/>
              </w:rPr>
              <w:t>对本项目技术创造性贡献：研究了适应增程器低速起动高速发电的3/6 相双模式可变绕组起动发电机，并对其运行机理进行了优化，实现了电机能够在低速状态下多匝绕组大转矩起动、高速状态下少匝绕组稳定发电两种模式运行。对实验系统和装机运行系统进行了参数设计。对推荐书中的主要技术创新点（1）的发明专利做出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3606" w:type="dxa"/>
            <w:gridSpan w:val="11"/>
            <w:vAlign w:val="center"/>
          </w:tcPr>
          <w:p>
            <w:pPr>
              <w:spacing w:line="400" w:lineRule="exact"/>
              <w:jc w:val="center"/>
              <w:rPr>
                <w:rFonts w:ascii="黑体" w:hAnsi="黑体" w:eastAsia="黑体" w:cs="黑体"/>
                <w:sz w:val="24"/>
                <w:szCs w:val="24"/>
              </w:rPr>
            </w:pPr>
            <w:r>
              <w:rPr>
                <w:rFonts w:hint="eastAsia" w:ascii="黑体" w:hAnsi="黑体" w:eastAsia="黑体" w:cs="黑体"/>
                <w:sz w:val="22"/>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序号</w:t>
            </w:r>
          </w:p>
        </w:tc>
        <w:tc>
          <w:tcPr>
            <w:tcW w:w="1218"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知识产权（标准）类别</w:t>
            </w:r>
          </w:p>
        </w:tc>
        <w:tc>
          <w:tcPr>
            <w:tcW w:w="2268" w:type="dxa"/>
            <w:gridSpan w:val="2"/>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知识产权（标准）</w:t>
            </w:r>
          </w:p>
          <w:p>
            <w:pPr>
              <w:spacing w:line="240" w:lineRule="exact"/>
              <w:jc w:val="center"/>
              <w:rPr>
                <w:rFonts w:ascii="黑体" w:hAnsi="黑体" w:eastAsia="黑体" w:cs="黑体"/>
                <w:sz w:val="18"/>
                <w:szCs w:val="18"/>
              </w:rPr>
            </w:pPr>
            <w:r>
              <w:rPr>
                <w:rFonts w:hint="eastAsia" w:ascii="黑体" w:hAnsi="黑体" w:eastAsia="黑体" w:cs="黑体"/>
                <w:sz w:val="18"/>
                <w:szCs w:val="18"/>
              </w:rPr>
              <w:t>具体名称</w:t>
            </w:r>
          </w:p>
        </w:tc>
        <w:tc>
          <w:tcPr>
            <w:tcW w:w="684"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国家</w:t>
            </w:r>
          </w:p>
          <w:p>
            <w:pPr>
              <w:spacing w:line="240" w:lineRule="exact"/>
              <w:jc w:val="center"/>
              <w:rPr>
                <w:rFonts w:ascii="黑体" w:hAnsi="黑体" w:eastAsia="黑体" w:cs="黑体"/>
                <w:sz w:val="18"/>
                <w:szCs w:val="18"/>
              </w:rPr>
            </w:pPr>
            <w:r>
              <w:rPr>
                <w:rFonts w:hint="eastAsia" w:ascii="黑体" w:hAnsi="黑体" w:eastAsia="黑体" w:cs="黑体"/>
                <w:sz w:val="18"/>
                <w:szCs w:val="18"/>
              </w:rPr>
              <w:t>（地区）</w:t>
            </w:r>
          </w:p>
        </w:tc>
        <w:tc>
          <w:tcPr>
            <w:tcW w:w="1726"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授权号</w:t>
            </w:r>
          </w:p>
          <w:p>
            <w:pPr>
              <w:spacing w:line="240" w:lineRule="exact"/>
              <w:jc w:val="center"/>
              <w:rPr>
                <w:rFonts w:ascii="黑体" w:hAnsi="黑体" w:eastAsia="黑体" w:cs="黑体"/>
                <w:sz w:val="18"/>
                <w:szCs w:val="18"/>
              </w:rPr>
            </w:pPr>
            <w:r>
              <w:rPr>
                <w:rFonts w:hint="eastAsia" w:ascii="黑体" w:hAnsi="黑体" w:eastAsia="黑体" w:cs="黑体"/>
                <w:sz w:val="18"/>
                <w:szCs w:val="18"/>
              </w:rPr>
              <w:t>（标准编号）</w:t>
            </w:r>
          </w:p>
        </w:tc>
        <w:tc>
          <w:tcPr>
            <w:tcW w:w="1134"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授权（标准发布）日期</w:t>
            </w:r>
          </w:p>
        </w:tc>
        <w:tc>
          <w:tcPr>
            <w:tcW w:w="1520"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证书编号（标准批准发布部门）</w:t>
            </w:r>
          </w:p>
        </w:tc>
        <w:tc>
          <w:tcPr>
            <w:tcW w:w="1538"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权利人</w:t>
            </w:r>
          </w:p>
          <w:p>
            <w:pPr>
              <w:spacing w:line="240" w:lineRule="exact"/>
              <w:jc w:val="center"/>
              <w:rPr>
                <w:rFonts w:ascii="黑体" w:hAnsi="黑体" w:eastAsia="黑体" w:cs="黑体"/>
                <w:sz w:val="18"/>
                <w:szCs w:val="18"/>
              </w:rPr>
            </w:pPr>
            <w:r>
              <w:rPr>
                <w:rFonts w:hint="eastAsia" w:ascii="黑体" w:hAnsi="黑体" w:eastAsia="黑体" w:cs="黑体"/>
                <w:sz w:val="18"/>
                <w:szCs w:val="18"/>
              </w:rPr>
              <w:t>（标准起草单位）</w:t>
            </w:r>
          </w:p>
        </w:tc>
        <w:tc>
          <w:tcPr>
            <w:tcW w:w="1620"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发明人</w:t>
            </w:r>
          </w:p>
          <w:p>
            <w:pPr>
              <w:spacing w:line="240" w:lineRule="exact"/>
              <w:jc w:val="center"/>
              <w:rPr>
                <w:rFonts w:ascii="黑体" w:hAnsi="黑体" w:eastAsia="黑体" w:cs="黑体"/>
                <w:sz w:val="18"/>
                <w:szCs w:val="18"/>
              </w:rPr>
            </w:pPr>
            <w:r>
              <w:rPr>
                <w:rFonts w:hint="eastAsia" w:ascii="黑体" w:hAnsi="黑体" w:eastAsia="黑体" w:cs="黑体"/>
                <w:sz w:val="18"/>
                <w:szCs w:val="18"/>
              </w:rPr>
              <w:t>（标准起草人）</w:t>
            </w:r>
          </w:p>
        </w:tc>
        <w:tc>
          <w:tcPr>
            <w:tcW w:w="1188"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1</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一种汽车用可变绕组起动发电机</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ZL201410538044X</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20160817</w:t>
            </w:r>
          </w:p>
        </w:tc>
        <w:tc>
          <w:tcPr>
            <w:tcW w:w="1520"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2191266</w:t>
            </w:r>
            <w:r>
              <w:rPr>
                <w:rFonts w:hint="eastAsia" w:eastAsia="仿宋" w:cs="Times New Roman"/>
                <w:color w:val="000000"/>
                <w:sz w:val="21"/>
                <w:szCs w:val="21"/>
              </w:rPr>
              <w:t xml:space="preserve"> </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史立伟、巩合聪、郭盈志、肖东等</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带真空泵的组合式磁极永磁发电机</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ZL201410075448X</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20181211</w:t>
            </w:r>
          </w:p>
        </w:tc>
        <w:tc>
          <w:tcPr>
            <w:tcW w:w="15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 xml:space="preserve">3178765 </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张学义、马清芝、杜钦君、史立伟</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3</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一种带高速弱磁功能的车用永磁稳压发电机</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ZL201510188216X</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20160224</w:t>
            </w:r>
          </w:p>
        </w:tc>
        <w:tc>
          <w:tcPr>
            <w:tcW w:w="1520"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1963622</w:t>
            </w:r>
            <w:r>
              <w:rPr>
                <w:rFonts w:hint="eastAsia" w:eastAsia="仿宋" w:cs="Times New Roman"/>
                <w:color w:val="000000"/>
                <w:sz w:val="21"/>
                <w:szCs w:val="21"/>
              </w:rPr>
              <w:t xml:space="preserve"> </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史立伟、张学义、莫言杰、尹红彬</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4</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轻卡用带真空泵的电励磁磁阻式发电机</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ZL 2015106225821</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20180608</w:t>
            </w:r>
          </w:p>
        </w:tc>
        <w:tc>
          <w:tcPr>
            <w:tcW w:w="1520"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2952206</w:t>
            </w:r>
            <w:r>
              <w:rPr>
                <w:rFonts w:hint="eastAsia" w:eastAsia="仿宋" w:cs="Times New Roman"/>
                <w:color w:val="000000"/>
                <w:sz w:val="21"/>
                <w:szCs w:val="21"/>
              </w:rPr>
              <w:t xml:space="preserve"> </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郭盈志、史立伟、李瑞川、王德鑫等</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5</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一种绕组自动切换的起动发电系统</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ZL 2016102561086</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20180508</w:t>
            </w:r>
          </w:p>
        </w:tc>
        <w:tc>
          <w:tcPr>
            <w:tcW w:w="1520"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2915353</w:t>
            </w:r>
            <w:r>
              <w:rPr>
                <w:rFonts w:hint="eastAsia" w:eastAsia="仿宋" w:cs="Times New Roman"/>
                <w:color w:val="000000"/>
                <w:sz w:val="21"/>
                <w:szCs w:val="21"/>
              </w:rPr>
              <w:t xml:space="preserve"> </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史立伟、陈祥菁、张学义、巩合聪等</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6</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各相隔离的五相容错汽车发电机</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ZL2017101652256</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20190416</w:t>
            </w:r>
          </w:p>
        </w:tc>
        <w:tc>
          <w:tcPr>
            <w:tcW w:w="1520"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3326004</w:t>
            </w:r>
            <w:r>
              <w:rPr>
                <w:rFonts w:hint="eastAsia" w:eastAsia="仿宋" w:cs="Times New Roman"/>
                <w:color w:val="000000"/>
                <w:sz w:val="21"/>
                <w:szCs w:val="21"/>
              </w:rPr>
              <w:t xml:space="preserve"> </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史立伟、贺光宗、郭盈志、肖东等</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7</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一种电动汽车增程器无刷爪极发电机及其制造方法</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ZL2016102561067</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20170818</w:t>
            </w:r>
          </w:p>
        </w:tc>
        <w:tc>
          <w:tcPr>
            <w:tcW w:w="1520"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2588281</w:t>
            </w:r>
            <w:r>
              <w:rPr>
                <w:rFonts w:hint="eastAsia" w:eastAsia="仿宋" w:cs="Times New Roman"/>
                <w:color w:val="000000"/>
                <w:sz w:val="21"/>
                <w:szCs w:val="21"/>
              </w:rPr>
              <w:t xml:space="preserve"> </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巩合聪、史立伟、王善健、李瑞川等</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8</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一种四相强隔离无刷直流发电机</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ZL2017100267336</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20181109</w:t>
            </w:r>
          </w:p>
        </w:tc>
        <w:tc>
          <w:tcPr>
            <w:tcW w:w="1520"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3139818</w:t>
            </w:r>
            <w:r>
              <w:rPr>
                <w:rFonts w:hint="eastAsia" w:eastAsia="仿宋" w:cs="Times New Roman"/>
                <w:color w:val="000000"/>
                <w:sz w:val="21"/>
                <w:szCs w:val="21"/>
              </w:rPr>
              <w:t xml:space="preserve"> </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史立伟、周晓宇、郭盈志、张学义等</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9</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一种电动车用低成本永磁直流无刷电机</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ZL2015101882812</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w:t>
            </w:r>
            <w:r>
              <w:rPr>
                <w:rFonts w:hint="eastAsia" w:eastAsia="仿宋" w:cs="Times New Roman"/>
                <w:color w:val="000000"/>
                <w:sz w:val="21"/>
                <w:szCs w:val="21"/>
              </w:rPr>
              <w:t>70503</w:t>
            </w:r>
          </w:p>
        </w:tc>
        <w:tc>
          <w:tcPr>
            <w:tcW w:w="15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 xml:space="preserve">2470333 </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史立伟、巩合聪、张学义等</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710"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10</w:t>
            </w:r>
          </w:p>
        </w:tc>
        <w:tc>
          <w:tcPr>
            <w:tcW w:w="121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发明专利</w:t>
            </w:r>
          </w:p>
        </w:tc>
        <w:tc>
          <w:tcPr>
            <w:tcW w:w="2268" w:type="dxa"/>
            <w:gridSpan w:val="2"/>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一种外转子电动发电机</w:t>
            </w:r>
          </w:p>
        </w:tc>
        <w:tc>
          <w:tcPr>
            <w:tcW w:w="684"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中国</w:t>
            </w:r>
          </w:p>
        </w:tc>
        <w:tc>
          <w:tcPr>
            <w:tcW w:w="1726"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GB/T 13929-2010</w:t>
            </w:r>
          </w:p>
        </w:tc>
        <w:tc>
          <w:tcPr>
            <w:tcW w:w="1134"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201</w:t>
            </w:r>
            <w:r>
              <w:rPr>
                <w:rFonts w:hint="eastAsia" w:eastAsia="仿宋" w:cs="Times New Roman"/>
                <w:color w:val="000000"/>
                <w:sz w:val="21"/>
                <w:szCs w:val="21"/>
              </w:rPr>
              <w:t>71003</w:t>
            </w:r>
          </w:p>
        </w:tc>
        <w:tc>
          <w:tcPr>
            <w:tcW w:w="15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2648182</w:t>
            </w:r>
          </w:p>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国家知识产权局</w:t>
            </w:r>
          </w:p>
        </w:tc>
        <w:tc>
          <w:tcPr>
            <w:tcW w:w="1538" w:type="dxa"/>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山东理工大学</w:t>
            </w:r>
          </w:p>
        </w:tc>
        <w:tc>
          <w:tcPr>
            <w:tcW w:w="1620" w:type="dxa"/>
          </w:tcPr>
          <w:p>
            <w:pPr>
              <w:spacing w:line="0" w:lineRule="atLeast"/>
              <w:ind w:left="-19" w:leftChars="-6" w:firstLine="16" w:firstLineChars="8"/>
              <w:jc w:val="center"/>
              <w:rPr>
                <w:rFonts w:eastAsia="仿宋" w:cs="Times New Roman"/>
                <w:color w:val="000000"/>
                <w:sz w:val="21"/>
                <w:szCs w:val="21"/>
              </w:rPr>
            </w:pPr>
            <w:r>
              <w:rPr>
                <w:rFonts w:hint="eastAsia" w:eastAsia="仿宋" w:cs="Times New Roman"/>
                <w:color w:val="000000"/>
                <w:sz w:val="21"/>
                <w:szCs w:val="21"/>
              </w:rPr>
              <w:t>史立伟、张学义、周波等</w:t>
            </w:r>
          </w:p>
        </w:tc>
        <w:tc>
          <w:tcPr>
            <w:tcW w:w="1188" w:type="dxa"/>
            <w:vAlign w:val="center"/>
          </w:tcPr>
          <w:p>
            <w:pPr>
              <w:spacing w:line="0" w:lineRule="atLeast"/>
              <w:ind w:left="-19" w:leftChars="-6" w:firstLine="16" w:firstLineChars="8"/>
              <w:jc w:val="center"/>
              <w:rPr>
                <w:rFonts w:eastAsia="仿宋" w:cs="Times New Roman"/>
                <w:color w:val="000000"/>
                <w:sz w:val="21"/>
                <w:szCs w:val="21"/>
              </w:rPr>
            </w:pPr>
            <w:r>
              <w:rPr>
                <w:rFonts w:eastAsia="仿宋" w:cs="Times New Roman"/>
                <w:color w:val="000000"/>
                <w:sz w:val="21"/>
                <w:szCs w:val="21"/>
              </w:rPr>
              <w:t>有效</w:t>
            </w:r>
          </w:p>
        </w:tc>
      </w:tr>
    </w:tbl>
    <w:p>
      <w:pPr>
        <w:spacing w:line="0" w:lineRule="atLeast"/>
        <w:ind w:left="-19" w:leftChars="-6" w:firstLine="16" w:firstLineChars="8"/>
        <w:jc w:val="center"/>
        <w:rPr>
          <w:rFonts w:eastAsia="仿宋" w:cs="Times New Roman"/>
          <w:color w:val="000000"/>
          <w:sz w:val="21"/>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57" w:footer="5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F748F"/>
    <w:multiLevelType w:val="multilevel"/>
    <w:tmpl w:val="528F748F"/>
    <w:lvl w:ilvl="0" w:tentative="0">
      <w:start w:val="1"/>
      <w:numFmt w:val="decimalEnclosedCircle"/>
      <w:lvlText w:val="%1"/>
      <w:lvlJc w:val="left"/>
      <w:pPr>
        <w:ind w:left="360" w:hanging="360"/>
      </w:pPr>
      <w:rPr>
        <w:rFonts w:hint="default" w:ascii="宋体" w:hAnsi="宋体" w:cs="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91"/>
    <w:rsid w:val="0002034F"/>
    <w:rsid w:val="00062055"/>
    <w:rsid w:val="00095687"/>
    <w:rsid w:val="000C7F6B"/>
    <w:rsid w:val="001140EF"/>
    <w:rsid w:val="00124973"/>
    <w:rsid w:val="001423B7"/>
    <w:rsid w:val="0017059E"/>
    <w:rsid w:val="001B472D"/>
    <w:rsid w:val="001C156A"/>
    <w:rsid w:val="001F00E6"/>
    <w:rsid w:val="00232A1B"/>
    <w:rsid w:val="00287332"/>
    <w:rsid w:val="002B50F6"/>
    <w:rsid w:val="002D4C4D"/>
    <w:rsid w:val="002E4C29"/>
    <w:rsid w:val="00330B3C"/>
    <w:rsid w:val="0033777B"/>
    <w:rsid w:val="00395FF5"/>
    <w:rsid w:val="003B3A58"/>
    <w:rsid w:val="003B6016"/>
    <w:rsid w:val="003D7384"/>
    <w:rsid w:val="003E7098"/>
    <w:rsid w:val="00421DF8"/>
    <w:rsid w:val="00434354"/>
    <w:rsid w:val="00476A1F"/>
    <w:rsid w:val="004B7EC0"/>
    <w:rsid w:val="004C5763"/>
    <w:rsid w:val="004D1208"/>
    <w:rsid w:val="005157B2"/>
    <w:rsid w:val="005504B5"/>
    <w:rsid w:val="00580080"/>
    <w:rsid w:val="00587D24"/>
    <w:rsid w:val="005A3F86"/>
    <w:rsid w:val="005C2152"/>
    <w:rsid w:val="005D13E3"/>
    <w:rsid w:val="00611DD8"/>
    <w:rsid w:val="00632044"/>
    <w:rsid w:val="00646ECD"/>
    <w:rsid w:val="006627F3"/>
    <w:rsid w:val="00673304"/>
    <w:rsid w:val="006908C8"/>
    <w:rsid w:val="007216EB"/>
    <w:rsid w:val="0073027B"/>
    <w:rsid w:val="007321E7"/>
    <w:rsid w:val="00735AAA"/>
    <w:rsid w:val="007462CD"/>
    <w:rsid w:val="0076390D"/>
    <w:rsid w:val="0079545B"/>
    <w:rsid w:val="007C4069"/>
    <w:rsid w:val="008366FC"/>
    <w:rsid w:val="00860714"/>
    <w:rsid w:val="00876178"/>
    <w:rsid w:val="00953187"/>
    <w:rsid w:val="009A0F90"/>
    <w:rsid w:val="009B6AAC"/>
    <w:rsid w:val="009D3FAC"/>
    <w:rsid w:val="009F08CF"/>
    <w:rsid w:val="00A4314A"/>
    <w:rsid w:val="00A52760"/>
    <w:rsid w:val="00A56EC1"/>
    <w:rsid w:val="00A605D2"/>
    <w:rsid w:val="00A64BC1"/>
    <w:rsid w:val="00A721D4"/>
    <w:rsid w:val="00A822E7"/>
    <w:rsid w:val="00A83A69"/>
    <w:rsid w:val="00AB0DA4"/>
    <w:rsid w:val="00AD0336"/>
    <w:rsid w:val="00B14BB4"/>
    <w:rsid w:val="00B56EF9"/>
    <w:rsid w:val="00B84FA2"/>
    <w:rsid w:val="00BA11B7"/>
    <w:rsid w:val="00BA222D"/>
    <w:rsid w:val="00BF39D0"/>
    <w:rsid w:val="00C73532"/>
    <w:rsid w:val="00C82881"/>
    <w:rsid w:val="00C849F4"/>
    <w:rsid w:val="00C850F1"/>
    <w:rsid w:val="00C94643"/>
    <w:rsid w:val="00CA661D"/>
    <w:rsid w:val="00CB6B1E"/>
    <w:rsid w:val="00CC1191"/>
    <w:rsid w:val="00CD7EE0"/>
    <w:rsid w:val="00D12B1A"/>
    <w:rsid w:val="00D1337D"/>
    <w:rsid w:val="00D51955"/>
    <w:rsid w:val="00D7554E"/>
    <w:rsid w:val="00D84C11"/>
    <w:rsid w:val="00DB2347"/>
    <w:rsid w:val="00DD17D3"/>
    <w:rsid w:val="00E02738"/>
    <w:rsid w:val="00E939F0"/>
    <w:rsid w:val="00E9698C"/>
    <w:rsid w:val="00EC2E3D"/>
    <w:rsid w:val="00EE0B4A"/>
    <w:rsid w:val="00F60EF1"/>
    <w:rsid w:val="00F95C4A"/>
    <w:rsid w:val="16C9354B"/>
    <w:rsid w:val="1D536E88"/>
    <w:rsid w:val="3A6B4657"/>
    <w:rsid w:val="42582E81"/>
    <w:rsid w:val="49464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3"/>
    <w:qFormat/>
    <w:uiPriority w:val="9"/>
    <w:pPr>
      <w:keepNext/>
      <w:keepLines/>
      <w:jc w:val="center"/>
      <w:outlineLvl w:val="0"/>
    </w:pPr>
    <w:rPr>
      <w:rFonts w:eastAsia="方正小标宋简体"/>
      <w:bCs/>
      <w:kern w:val="44"/>
      <w:sz w:val="44"/>
      <w:szCs w:val="44"/>
    </w:rPr>
  </w:style>
  <w:style w:type="paragraph" w:styleId="3">
    <w:name w:val="heading 2"/>
    <w:basedOn w:val="1"/>
    <w:next w:val="1"/>
    <w:link w:val="14"/>
    <w:unhideWhenUsed/>
    <w:qFormat/>
    <w:uiPriority w:val="9"/>
    <w:pPr>
      <w:keepNext/>
      <w:keepLines/>
      <w:ind w:firstLine="641"/>
      <w:outlineLvl w:val="1"/>
    </w:pPr>
    <w:rPr>
      <w:rFonts w:eastAsia="黑体" w:asciiTheme="majorHAnsi" w:hAnsiTheme="majorHAnsi" w:cstheme="majorBidi"/>
      <w:bCs/>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5"/>
    <w:unhideWhenUsed/>
    <w:qFormat/>
    <w:uiPriority w:val="0"/>
    <w:pPr>
      <w:widowControl w:val="0"/>
      <w:spacing w:line="360" w:lineRule="auto"/>
      <w:ind w:firstLine="480" w:firstLineChars="200"/>
      <w:jc w:val="both"/>
    </w:pPr>
    <w:rPr>
      <w:rFonts w:hint="eastAsia" w:ascii="仿宋_GB2312" w:eastAsia="宋体" w:cs="Times New Roman"/>
      <w:sz w:val="24"/>
      <w:szCs w:val="20"/>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pPr>
    <w:rPr>
      <w:sz w:val="18"/>
      <w:szCs w:val="18"/>
    </w:rPr>
  </w:style>
  <w:style w:type="paragraph" w:styleId="7">
    <w:name w:val="Normal (Web)"/>
    <w:basedOn w:val="1"/>
    <w:semiHidden/>
    <w:unhideWhenUsed/>
    <w:uiPriority w:val="99"/>
    <w:rPr>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uiPriority w:val="99"/>
    <w:rPr>
      <w:sz w:val="18"/>
      <w:szCs w:val="18"/>
    </w:rPr>
  </w:style>
  <w:style w:type="character" w:customStyle="1" w:styleId="13">
    <w:name w:val="标题 1 Char"/>
    <w:basedOn w:val="10"/>
    <w:link w:val="2"/>
    <w:uiPriority w:val="9"/>
    <w:rPr>
      <w:rFonts w:eastAsia="方正小标宋简体"/>
      <w:bCs/>
      <w:kern w:val="44"/>
      <w:sz w:val="44"/>
      <w:szCs w:val="44"/>
    </w:rPr>
  </w:style>
  <w:style w:type="character" w:customStyle="1" w:styleId="14">
    <w:name w:val="标题 2 Char"/>
    <w:basedOn w:val="10"/>
    <w:link w:val="3"/>
    <w:uiPriority w:val="9"/>
    <w:rPr>
      <w:rFonts w:eastAsia="黑体" w:asciiTheme="majorHAnsi" w:hAnsiTheme="majorHAnsi" w:cstheme="majorBidi"/>
      <w:bCs/>
      <w:szCs w:val="32"/>
    </w:rPr>
  </w:style>
  <w:style w:type="character" w:customStyle="1" w:styleId="15">
    <w:name w:val="纯文本 Char"/>
    <w:basedOn w:val="10"/>
    <w:link w:val="4"/>
    <w:qFormat/>
    <w:uiPriority w:val="0"/>
    <w:rPr>
      <w:rFonts w:hint="eastAsia" w:ascii="仿宋_GB2312" w:eastAsia="仿宋_GB2312" w:cs="仿宋_GB2312"/>
      <w:kern w:val="2"/>
      <w:sz w:val="24"/>
    </w:rPr>
  </w:style>
  <w:style w:type="character" w:customStyle="1" w:styleId="16">
    <w:name w:val="fontstyle01"/>
    <w:basedOn w:val="10"/>
    <w:uiPriority w:val="0"/>
    <w:rPr>
      <w:rFonts w:hint="eastAsia" w:ascii="宋体" w:hAnsi="宋体" w:eastAsia="宋体"/>
      <w:color w:val="000000"/>
      <w:sz w:val="22"/>
      <w:szCs w:val="22"/>
    </w:rPr>
  </w:style>
  <w:style w:type="paragraph" w:styleId="17">
    <w:name w:val="List Paragraph"/>
    <w:basedOn w:val="1"/>
    <w:unhideWhenUsed/>
    <w:uiPriority w:val="99"/>
    <w:pPr>
      <w:ind w:firstLine="420" w:firstLineChars="200"/>
    </w:pPr>
  </w:style>
  <w:style w:type="character" w:customStyle="1" w:styleId="18">
    <w:name w:val="nlkfqirnlfjer1dfgzxcyiuro"/>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368</Words>
  <Characters>2103</Characters>
  <Lines>17</Lines>
  <Paragraphs>4</Paragraphs>
  <TotalTime>2</TotalTime>
  <ScaleCrop>false</ScaleCrop>
  <LinksUpToDate>false</LinksUpToDate>
  <CharactersWithSpaces>2467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2020-06-16T04:04:00Z</dcterms:created>
  <dc:creator>李昕然</dc:creator>
  <cp:lastModifiedBy>娟子</cp:lastModifiedBy>
  <cp:lastPrinted>2019-12-03T02:10:00Z</cp:lastPrinted>
  <dcterms:modified xsi:type="dcterms:W3CDTF">2020-06-16T06:04:01Z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