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“女性安康工程”的具体情况介绍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1.投保对象：</w:t>
      </w:r>
      <w:r>
        <w:rPr>
          <w:rFonts w:hint="eastAsia" w:ascii="仿宋_GB2312" w:eastAsia="仿宋_GB2312"/>
          <w:b/>
          <w:sz w:val="28"/>
          <w:szCs w:val="28"/>
        </w:rPr>
        <w:t>18-60周岁的健康女性。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保险责任：保险生效之日起九十日后（连续投保不受此限）初次发生并经医院确诊罹患原发性乳腺癌、原发性卵巢癌、原发性子宫内膜癌、原发性宫颈癌四种疾病中的任何一种或多种，每份立即赔付保险金50000元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3.保险费：</w:t>
      </w:r>
      <w:r>
        <w:rPr>
          <w:rFonts w:hint="eastAsia" w:ascii="仿宋_GB2312" w:eastAsia="仿宋_GB2312"/>
          <w:b/>
          <w:sz w:val="28"/>
          <w:szCs w:val="28"/>
        </w:rPr>
        <w:t>100元/份，每人最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高购买2份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4.保险期限：一年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5.投保流程：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请符合条件的女教职工及男教职工家属按照以下步骤进行投保：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打开“女性安康”报名程序，填写相关信息进行报名。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填写完毕后，打开缴费二维码并识别，</w:t>
      </w:r>
      <w:r>
        <w:rPr>
          <w:rFonts w:hint="eastAsia" w:ascii="仿宋_GB2312" w:eastAsia="仿宋_GB2312"/>
          <w:b/>
          <w:bCs/>
          <w:sz w:val="28"/>
          <w:szCs w:val="28"/>
        </w:rPr>
        <w:t>务必备注个人姓名</w:t>
      </w:r>
      <w:r>
        <w:rPr>
          <w:rFonts w:hint="eastAsia" w:ascii="仿宋_GB2312" w:eastAsia="仿宋_GB2312"/>
          <w:sz w:val="28"/>
          <w:szCs w:val="28"/>
        </w:rPr>
        <w:t>，进行保费缴纳。选择5万保额的缴纳100元，选择10万保额的缴纳200元。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女性安康工程为团体类保单，为确保投保客户权益，将统一本次报名截止时间，此次报名截止</w:t>
      </w:r>
      <w:r>
        <w:rPr>
          <w:rFonts w:hint="eastAsia" w:ascii="仿宋_GB2312" w:eastAsia="仿宋_GB2312"/>
          <w:b/>
          <w:bCs/>
          <w:sz w:val="28"/>
          <w:szCs w:val="28"/>
        </w:rPr>
        <w:t>5月26日前</w:t>
      </w:r>
      <w:r>
        <w:rPr>
          <w:rFonts w:hint="eastAsia" w:ascii="仿宋_GB2312" w:eastAsia="仿宋_GB2312"/>
          <w:sz w:val="28"/>
          <w:szCs w:val="28"/>
        </w:rPr>
        <w:t>。期间中国人寿工作人员负责核对报名人员和缴费人员是否一致，核对无误后，27日统一办理投保录入手续，由中国人寿出具团体保单。办理投保手续到出单需要3个工作日，起保日期以保单为准。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6.报案：参保女性在确诊罹患保险责任承保疾病后，被保险人或受益人可拨打95519或直接联系中国人寿相关人员进行报案事宜协助。</w:t>
      </w:r>
    </w:p>
    <w:p>
      <w:pPr>
        <w:spacing w:line="56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7.理赔：理赔所需单证（保单或凭证、二级以上医院诊断证明、门诊及住院病历、被保险人身份证及银行卡复印件）及申请、给付等事宜，中国人寿保险公司收到理赔手续后5个工作日内办理完毕。保险金通过银行转账方式直接划转至被保险人或受益人账户。</w:t>
      </w:r>
    </w:p>
    <w:sectPr>
      <w:pgSz w:w="11905" w:h="16838"/>
      <w:pgMar w:top="1417" w:right="1417" w:bottom="1417" w:left="141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438A"/>
    <w:multiLevelType w:val="singleLevel"/>
    <w:tmpl w:val="0C9F438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369D8"/>
    <w:rsid w:val="73B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2020-05-08T06:58:31Z</dcterms:created>
  <dc:creator>Administrator</dc:creator>
  <cp:lastModifiedBy>文梦娟</cp:lastModifiedBy>
  <dcterms:modified xsi:type="dcterms:W3CDTF">2020-05-08T06:59:30Z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