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"/>
        <w:rPr>
          <w:sz w:val="24"/>
        </w:rPr>
      </w:pPr>
    </w:p>
    <w:p>
      <w:pPr>
        <w:pStyle w:val="2"/>
        <w:spacing w:line="708" w:lineRule="exact"/>
        <w:rPr>
          <w:b w:val="0"/>
        </w:rPr>
      </w:pPr>
      <w:r>
        <w:rPr>
          <w:b w:val="0"/>
        </w:rPr>
        <w:t>孔新苗简介</w:t>
      </w:r>
    </w:p>
    <w:p>
      <w:pPr>
        <w:pStyle w:val="3"/>
        <w:spacing w:before="4"/>
        <w:rPr>
          <w:rFonts w:ascii="思源黑体 CN Medium"/>
          <w:b w:val="0"/>
          <w:sz w:val="27"/>
        </w:rPr>
      </w:pPr>
    </w:p>
    <w:p>
      <w:pPr>
        <w:pStyle w:val="3"/>
        <w:spacing w:line="328" w:lineRule="auto"/>
        <w:ind w:left="120" w:right="420" w:firstLine="640"/>
        <w:jc w:val="both"/>
      </w:pPr>
      <w:r>
        <w:rPr>
          <w:spacing w:val="-4"/>
        </w:rPr>
        <w:t>孔新苗，博士、教授、博导。教育部艺术教育委员会常务委员、中国美术家协会美术教育委员会副主任、全国高校</w:t>
      </w:r>
      <w:r>
        <w:rPr>
          <w:spacing w:val="-3"/>
        </w:rPr>
        <w:t>美育教学指导委员会委员、山</w:t>
      </w:r>
      <w:bookmarkStart w:id="0" w:name="_GoBack"/>
      <w:bookmarkEnd w:id="0"/>
      <w:r>
        <w:rPr>
          <w:spacing w:val="-3"/>
        </w:rPr>
        <w:t>东师范大学美术理论与美术教</w:t>
      </w:r>
      <w:r>
        <w:t>育研究中心名誉主任。</w:t>
      </w:r>
    </w:p>
    <w:p>
      <w:pPr>
        <w:pStyle w:val="3"/>
        <w:spacing w:line="326" w:lineRule="auto"/>
        <w:ind w:left="120" w:right="420" w:firstLine="640"/>
        <w:jc w:val="both"/>
      </w:pPr>
      <w:r>
        <w:rPr>
          <w:spacing w:val="-7"/>
        </w:rPr>
        <w:t>代表性学术著作有：《</w:t>
      </w:r>
      <w:r>
        <w:t>20</w:t>
      </w:r>
      <w:r>
        <w:rPr>
          <w:spacing w:val="-13"/>
        </w:rPr>
        <w:t xml:space="preserve"> 世纪中国绘画美学》山东美术</w:t>
      </w:r>
      <w:r>
        <w:rPr>
          <w:spacing w:val="-32"/>
          <w:w w:val="99"/>
        </w:rPr>
        <w:t>出版社</w:t>
      </w:r>
      <w:r>
        <w:rPr>
          <w:spacing w:val="-1"/>
          <w:w w:val="99"/>
        </w:rPr>
        <w:t>（</w:t>
      </w:r>
      <w:r>
        <w:rPr>
          <w:spacing w:val="1"/>
          <w:w w:val="99"/>
        </w:rPr>
        <w:t>2000</w:t>
      </w:r>
      <w:r>
        <w:rPr>
          <w:spacing w:val="-94"/>
          <w:w w:val="99"/>
        </w:rPr>
        <w:t>）</w:t>
      </w:r>
      <w:r>
        <w:rPr>
          <w:spacing w:val="-27"/>
          <w:w w:val="99"/>
        </w:rPr>
        <w:t>，《中西美术比较》山东画报出版社</w:t>
      </w:r>
      <w:r>
        <w:rPr>
          <w:spacing w:val="2"/>
          <w:w w:val="99"/>
        </w:rPr>
        <w:t>（</w:t>
      </w:r>
      <w:r>
        <w:rPr>
          <w:spacing w:val="1"/>
          <w:w w:val="99"/>
        </w:rPr>
        <w:t>2002</w:t>
      </w:r>
      <w:r>
        <w:rPr>
          <w:spacing w:val="-94"/>
          <w:w w:val="99"/>
        </w:rPr>
        <w:t>），</w:t>
      </w:r>
      <w:r>
        <w:rPr>
          <w:spacing w:val="-2"/>
          <w:w w:val="95"/>
        </w:rPr>
        <w:t>《齐鲁民间造型艺术》山东画报出版社</w:t>
      </w:r>
      <w:r>
        <w:rPr>
          <w:w w:val="95"/>
        </w:rPr>
        <w:t xml:space="preserve">（2005），《美术鉴 </w:t>
      </w:r>
      <w:r>
        <w:rPr>
          <w:spacing w:val="-1"/>
          <w:w w:val="95"/>
        </w:rPr>
        <w:t>赏与批评》浙江人民美术出版社</w:t>
      </w:r>
      <w:r>
        <w:rPr>
          <w:w w:val="95"/>
        </w:rPr>
        <w:t>（2012），《境遇</w:t>
      </w:r>
      <w:r>
        <w:rPr>
          <w:spacing w:val="-3"/>
          <w:w w:val="95"/>
        </w:rPr>
        <w:t>·</w:t>
      </w:r>
      <w:r>
        <w:rPr>
          <w:spacing w:val="-4"/>
          <w:w w:val="95"/>
        </w:rPr>
        <w:t>镜像—</w:t>
      </w:r>
      <w:r>
        <w:rPr>
          <w:spacing w:val="-9"/>
        </w:rPr>
        <w:t>—中国美术与国家形象研究》人民出版社</w:t>
      </w:r>
      <w:r>
        <w:rPr>
          <w:spacing w:val="-11"/>
        </w:rPr>
        <w:t>（2015）</w:t>
      </w:r>
      <w:r>
        <w:rPr>
          <w:spacing w:val="-28"/>
        </w:rPr>
        <w:t>等。在《文</w:t>
      </w:r>
      <w:r>
        <w:rPr>
          <w:spacing w:val="3"/>
          <w:w w:val="95"/>
        </w:rPr>
        <w:t>艺研究》、《美术研究》、《艺术百家》、《美术观察》、</w:t>
      </w:r>
    </w:p>
    <w:p>
      <w:pPr>
        <w:pStyle w:val="3"/>
        <w:spacing w:before="2" w:line="328" w:lineRule="auto"/>
        <w:ind w:left="120" w:right="419"/>
        <w:jc w:val="both"/>
      </w:pPr>
      <w:r>
        <w:rPr>
          <w:spacing w:val="-1"/>
        </w:rPr>
        <w:t xml:space="preserve">《美术》等学科核心期刊发表论文 </w:t>
      </w:r>
      <w:r>
        <w:t>50</w:t>
      </w:r>
      <w:r>
        <w:rPr>
          <w:spacing w:val="-5"/>
        </w:rPr>
        <w:t xml:space="preserve"> 余篇。主持完成国家</w:t>
      </w:r>
      <w:r>
        <w:rPr>
          <w:spacing w:val="-2"/>
        </w:rPr>
        <w:t>社会科学基金艺术学项目、教育部人文社科项目、山东省人</w:t>
      </w:r>
      <w:r>
        <w:rPr>
          <w:spacing w:val="-5"/>
        </w:rPr>
        <w:t>文社科重点项目等多项。在艺术美学、美术史与美术批评理</w:t>
      </w:r>
      <w:r>
        <w:rPr>
          <w:spacing w:val="-4"/>
        </w:rPr>
        <w:t>论、美术教育研究方面，侧重从跨文化比较角度的诠释。一</w:t>
      </w:r>
      <w:r>
        <w:t>直从事具有个人特点的油画艺术创作。</w:t>
      </w:r>
    </w:p>
    <w:sectPr>
      <w:pgSz w:w="11910" w:h="16840"/>
      <w:pgMar w:top="1520" w:right="13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Medium">
    <w:panose1 w:val="020B0600000000000000"/>
    <w:charset w:val="80"/>
    <w:family w:val="swiss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144F0"/>
    <w:rsid w:val="1271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99" w:right="592"/>
      <w:jc w:val="center"/>
      <w:outlineLvl w:val="1"/>
    </w:pPr>
    <w:rPr>
      <w:rFonts w:ascii="思源黑体 CN Medium" w:hAnsi="思源黑体 CN Medium" w:eastAsia="思源黑体 CN Medium" w:cs="思源黑体 CN Medium"/>
      <w:sz w:val="40"/>
      <w:szCs w:val="4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2020-12-21T11:59:00Z</dcterms:created>
  <dc:creator>浅汐</dc:creator>
  <cp:lastModifiedBy>浅汐</cp:lastModifiedBy>
  <dcterms:modified xsi:type="dcterms:W3CDTF">2020-12-21T12:00:15Z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