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center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目前网上报销存在的主要问题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firstLine="160" w:firstLineChars="100"/>
        <w:jc w:val="both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　1.打印的《网上报销单》签字手续不全。主要是经手人、验收人签字不全直接投递。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both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 xml:space="preserve">　　2.原始票据不全、不规范。主要是课题报销出现商场超市办公用品之类票据；大宗物品、大额印刷费未付明细清单；需入固定资产未办理入库手续；租车费未付用车明细表；科研课题公务接待费报销未提供横向课题公务接待清单等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both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 xml:space="preserve">　　3.学生发放劳务费提供的银行卡未激活或非农业银行卡，造成银行支付退单。 </w:t>
      </w:r>
      <w:r>
        <w:rPr>
          <w:rFonts w:hint="eastAsia" w:ascii="宋体" w:hAnsi="宋体" w:eastAsia="宋体" w:cs="宋体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sz w:val="16"/>
          <w:szCs w:val="16"/>
        </w:rPr>
        <w:t xml:space="preserve">　　4.公务经费未刷公务卡或无相关支付记录。 </w:t>
      </w:r>
      <w:r>
        <w:rPr>
          <w:rFonts w:hint="eastAsia" w:ascii="宋体" w:hAnsi="宋体" w:eastAsia="宋体" w:cs="宋体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sz w:val="16"/>
          <w:szCs w:val="16"/>
        </w:rPr>
        <w:t xml:space="preserve">　　5.付款方式选择不对，如需对公转账而选择了对私打卡，造成支付信息不实等。 </w:t>
      </w:r>
      <w:r>
        <w:rPr>
          <w:rFonts w:hint="eastAsia" w:ascii="宋体" w:hAnsi="宋体" w:eastAsia="宋体" w:cs="宋体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sz w:val="16"/>
          <w:szCs w:val="16"/>
        </w:rPr>
        <w:t>　　6.差旅费报销不规范，主要是会议、培训出差补助补助计算天数不准确；出差审批手续不全等。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6749D"/>
    <w:rsid w:val="2AB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2020-03-22T01:33:00Z</dcterms:created>
  <dc:creator>lenovo</dc:creator>
  <cp:lastModifiedBy>lenovo</cp:lastModifiedBy>
  <dcterms:modified xsi:type="dcterms:W3CDTF">2020-03-22T01:35:06Z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